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77777777" w:rsidR="00507F07" w:rsidRPr="00507F07" w:rsidRDefault="00E90E49" w:rsidP="00507F07">
      <w:pPr>
        <w:pStyle w:val="3GPPHeader"/>
        <w:spacing w:after="60"/>
        <w:rPr>
          <w:sz w:val="32"/>
          <w:szCs w:val="32"/>
          <w:lang w:val="sv-SE"/>
        </w:rPr>
      </w:pPr>
      <w:r w:rsidRPr="006B4E23">
        <w:t>3GPP TSG-RAN WG</w:t>
      </w:r>
      <w:r w:rsidR="00F20F5C" w:rsidRPr="006B4E23">
        <w:t>2</w:t>
      </w:r>
      <w:r w:rsidRPr="006B4E23">
        <w:t xml:space="preserve"> #</w:t>
      </w:r>
      <w:r w:rsidR="00F20F5C" w:rsidRPr="006B4E23">
        <w:t>1</w:t>
      </w:r>
      <w:r w:rsidR="00C268E6" w:rsidRPr="006B4E23">
        <w:t>1</w:t>
      </w:r>
      <w:r w:rsidR="00374321">
        <w:t>6</w:t>
      </w:r>
      <w:r w:rsidR="005640C9" w:rsidRPr="006B4E23">
        <w:t>-</w:t>
      </w:r>
      <w:r w:rsidR="00F20F5C" w:rsidRPr="006B4E23">
        <w:t>e</w:t>
      </w:r>
      <w:r w:rsidRPr="006B4E23">
        <w:tab/>
      </w:r>
      <w:r w:rsidR="003A2B6B" w:rsidRPr="00B72BBD">
        <w:rPr>
          <w:sz w:val="32"/>
          <w:szCs w:val="32"/>
        </w:rPr>
        <w:t>R2-</w:t>
      </w:r>
      <w:r w:rsidR="00507F07" w:rsidRPr="00507F07">
        <w:rPr>
          <w:sz w:val="32"/>
          <w:szCs w:val="32"/>
          <w:lang w:val="sv-SE"/>
        </w:rPr>
        <w:t>2109593</w:t>
      </w:r>
    </w:p>
    <w:p w14:paraId="752598DE" w14:textId="66FDA318" w:rsidR="00E90E49" w:rsidRPr="003A2B6B" w:rsidRDefault="00C268E6" w:rsidP="00311702">
      <w:pPr>
        <w:pStyle w:val="3GPPHeader"/>
      </w:pPr>
      <w:r w:rsidRPr="003A2B6B">
        <w:t xml:space="preserve">Electronic meeting, </w:t>
      </w:r>
      <w:bookmarkStart w:id="0" w:name="_Hlk83285247"/>
      <w:r w:rsidR="00D63BBC" w:rsidRPr="00757B80">
        <w:t>2021-</w:t>
      </w:r>
      <w:r w:rsidR="00374321">
        <w:t>11</w:t>
      </w:r>
      <w:r w:rsidR="00D63BBC" w:rsidRPr="00757B80">
        <w:t>-</w:t>
      </w:r>
      <w:r w:rsidR="00374321">
        <w:t>01</w:t>
      </w:r>
      <w:r w:rsidR="00D63BBC" w:rsidRPr="00757B80">
        <w:t xml:space="preserve"> - 2021-</w:t>
      </w:r>
      <w:r w:rsidR="00374321">
        <w:t>11</w:t>
      </w:r>
      <w:r w:rsidR="00D63BBC" w:rsidRPr="00757B80">
        <w:t>-</w:t>
      </w:r>
      <w:r w:rsidR="00374321">
        <w:t>12</w:t>
      </w:r>
      <w:bookmarkEnd w:id="0"/>
      <w:r w:rsidR="009E7E95">
        <w:tab/>
      </w:r>
    </w:p>
    <w:p w14:paraId="3E6673B6" w14:textId="77777777" w:rsidR="00E90E49" w:rsidRPr="003A2B6B" w:rsidRDefault="00E90E49" w:rsidP="00357380">
      <w:pPr>
        <w:pStyle w:val="3GPPHeader"/>
      </w:pPr>
    </w:p>
    <w:p w14:paraId="7B71D8B7" w14:textId="226300FC"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w:t>
      </w:r>
      <w:r w:rsidR="00374321">
        <w:rPr>
          <w:sz w:val="22"/>
          <w:szCs w:val="22"/>
        </w:rPr>
        <w:t>2</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46020CC5"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374321">
        <w:rPr>
          <w:sz w:val="22"/>
          <w:szCs w:val="22"/>
        </w:rPr>
        <w:t>Common Aspects for</w:t>
      </w:r>
      <w:r w:rsidR="007636C1" w:rsidRPr="003A2B6B">
        <w:rPr>
          <w:sz w:val="22"/>
          <w:szCs w:val="22"/>
        </w:rPr>
        <w:t xml:space="preserve">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3F0B0999" w14:textId="77777777" w:rsidR="00E90E49" w:rsidRPr="003A2B6B" w:rsidRDefault="00230D18" w:rsidP="00CE0424">
      <w:pPr>
        <w:pStyle w:val="Heading1"/>
      </w:pPr>
      <w:r w:rsidRPr="003A2B6B">
        <w:t>1</w:t>
      </w:r>
      <w:r w:rsidRPr="003A2B6B">
        <w:tab/>
      </w:r>
      <w:r w:rsidR="00E90E49" w:rsidRPr="003A2B6B">
        <w:t>Introduction</w:t>
      </w:r>
    </w:p>
    <w:p w14:paraId="52025973" w14:textId="6CF6B451" w:rsidR="007636C1" w:rsidRDefault="007636C1" w:rsidP="007636C1">
      <w:pPr>
        <w:pStyle w:val="BodyText"/>
      </w:pPr>
      <w:r w:rsidRPr="003A2B6B">
        <w:t xml:space="preserve">The relevant agreements </w:t>
      </w:r>
      <w:r w:rsidR="00B624A6" w:rsidRPr="003A2B6B">
        <w:t xml:space="preserve">discussed in this contribution </w:t>
      </w:r>
      <w:r w:rsidRPr="003A2B6B">
        <w:t>are reported below</w:t>
      </w:r>
      <w:r w:rsidR="008C263C">
        <w:t xml:space="preserve"> in </w:t>
      </w:r>
      <w:r w:rsidRPr="003A2B6B">
        <w:fldChar w:fldCharType="begin"/>
      </w:r>
      <w:r w:rsidRPr="003A2B6B">
        <w:instrText xml:space="preserve"> REF _Ref61511911 \r \h </w:instrText>
      </w:r>
      <w:r w:rsidR="003A2B6B">
        <w:instrText xml:space="preserve"> \* MERGEFORMAT </w:instrText>
      </w:r>
      <w:r w:rsidRPr="003A2B6B">
        <w:fldChar w:fldCharType="separate"/>
      </w:r>
      <w:r w:rsidR="00EE46BF">
        <w:t>[1]</w:t>
      </w:r>
      <w:r w:rsidRPr="003A2B6B">
        <w:fldChar w:fldCharType="end"/>
      </w:r>
      <w:r w:rsidR="008C263C">
        <w:t xml:space="preserve">, </w:t>
      </w:r>
      <w:r w:rsidR="00B624A6" w:rsidRPr="003A2B6B">
        <w:fldChar w:fldCharType="begin"/>
      </w:r>
      <w:r w:rsidR="00B624A6" w:rsidRPr="003A2B6B">
        <w:instrText xml:space="preserve"> REF _Ref67063039 \r \h </w:instrText>
      </w:r>
      <w:r w:rsidR="003A2B6B">
        <w:instrText xml:space="preserve"> \* MERGEFORMAT </w:instrText>
      </w:r>
      <w:r w:rsidR="00B624A6" w:rsidRPr="003A2B6B">
        <w:fldChar w:fldCharType="separate"/>
      </w:r>
      <w:r w:rsidR="00EE46BF">
        <w:t>[2]</w:t>
      </w:r>
      <w:r w:rsidR="00B624A6" w:rsidRPr="003A2B6B">
        <w:fldChar w:fldCharType="end"/>
      </w:r>
      <w:r w:rsidR="008C263C">
        <w:t xml:space="preserve"> and </w:t>
      </w:r>
      <w:r w:rsidR="0011651B">
        <w:fldChar w:fldCharType="begin"/>
      </w:r>
      <w:r w:rsidR="0011651B">
        <w:instrText xml:space="preserve"> REF _Ref75161746 \r \h </w:instrText>
      </w:r>
      <w:r w:rsidR="0011651B">
        <w:fldChar w:fldCharType="separate"/>
      </w:r>
      <w:r w:rsidR="00EE46BF">
        <w:t>[3]</w:t>
      </w:r>
      <w:r w:rsidR="0011651B">
        <w:fldChar w:fldCharType="end"/>
      </w:r>
      <w:r w:rsidRPr="003A2B6B">
        <w:t>:</w:t>
      </w:r>
    </w:p>
    <w:p w14:paraId="337289FA" w14:textId="46EE4D8F" w:rsidR="00374321" w:rsidRPr="00374321" w:rsidRDefault="00374321" w:rsidP="00374321">
      <w:pPr>
        <w:tabs>
          <w:tab w:val="left" w:pos="1622"/>
        </w:tabs>
        <w:overflowPunct/>
        <w:autoSpaceDE/>
        <w:autoSpaceDN/>
        <w:adjustRightInd/>
        <w:spacing w:after="0"/>
        <w:ind w:left="363" w:hanging="363"/>
        <w:textAlignment w:val="auto"/>
        <w:rPr>
          <w:rFonts w:ascii="Arial" w:eastAsia="MS Mincho" w:hAnsi="Arial"/>
          <w:szCs w:val="24"/>
          <w:lang w:eastAsia="en-GB"/>
        </w:rPr>
      </w:pPr>
      <w:r w:rsidRPr="00374321">
        <w:rPr>
          <w:rFonts w:ascii="Arial" w:eastAsia="MS Mincho" w:hAnsi="Arial"/>
          <w:szCs w:val="24"/>
          <w:lang w:eastAsia="en-GB"/>
        </w:rPr>
        <w:t>This contribution discusses some of the unresolved issues left from the agreements made so far, i.e.</w:t>
      </w:r>
    </w:p>
    <w:p w14:paraId="4C23F8A9" w14:textId="77777777" w:rsidR="00374321" w:rsidRPr="00374321" w:rsidRDefault="00374321" w:rsidP="00374321">
      <w:pPr>
        <w:numPr>
          <w:ilvl w:val="0"/>
          <w:numId w:val="36"/>
        </w:numPr>
        <w:tabs>
          <w:tab w:val="left" w:pos="1622"/>
        </w:tabs>
        <w:overflowPunct/>
        <w:autoSpaceDE/>
        <w:autoSpaceDN/>
        <w:adjustRightInd/>
        <w:spacing w:after="0"/>
        <w:textAlignment w:val="auto"/>
        <w:rPr>
          <w:rFonts w:ascii="Arial" w:eastAsia="MS Mincho" w:hAnsi="Arial"/>
          <w:sz w:val="22"/>
          <w:szCs w:val="24"/>
          <w:lang w:val="x-none" w:eastAsia="en-GB"/>
        </w:rPr>
      </w:pPr>
      <w:r w:rsidRPr="00374321">
        <w:rPr>
          <w:rFonts w:ascii="Arial" w:eastAsia="MS Mincho" w:hAnsi="Arial"/>
          <w:sz w:val="22"/>
          <w:szCs w:val="24"/>
          <w:lang w:val="x-none" w:eastAsia="en-GB"/>
        </w:rPr>
        <w:t>SUL NUL selection</w:t>
      </w:r>
    </w:p>
    <w:p w14:paraId="1B07581E" w14:textId="77777777" w:rsidR="00374321" w:rsidRPr="00374321" w:rsidRDefault="00374321" w:rsidP="00374321">
      <w:pPr>
        <w:numPr>
          <w:ilvl w:val="0"/>
          <w:numId w:val="36"/>
        </w:numPr>
        <w:tabs>
          <w:tab w:val="left" w:pos="1622"/>
        </w:tabs>
        <w:overflowPunct/>
        <w:autoSpaceDE/>
        <w:autoSpaceDN/>
        <w:adjustRightInd/>
        <w:spacing w:after="0"/>
        <w:textAlignment w:val="auto"/>
        <w:rPr>
          <w:rFonts w:ascii="Arial" w:eastAsia="MS Mincho" w:hAnsi="Arial"/>
          <w:sz w:val="22"/>
          <w:szCs w:val="24"/>
          <w:lang w:val="x-none" w:eastAsia="en-GB"/>
        </w:rPr>
      </w:pPr>
      <w:r w:rsidRPr="00374321">
        <w:rPr>
          <w:rFonts w:ascii="Arial" w:eastAsia="MS Mincho" w:hAnsi="Arial"/>
          <w:sz w:val="22"/>
          <w:szCs w:val="24"/>
          <w:lang w:val="sv-SE" w:eastAsia="en-GB"/>
        </w:rPr>
        <w:t xml:space="preserve">BSR </w:t>
      </w:r>
      <w:proofErr w:type="spellStart"/>
      <w:r w:rsidRPr="00374321">
        <w:rPr>
          <w:rFonts w:ascii="Arial" w:eastAsia="MS Mincho" w:hAnsi="Arial"/>
          <w:sz w:val="22"/>
          <w:szCs w:val="24"/>
          <w:lang w:val="sv-SE" w:eastAsia="en-GB"/>
        </w:rPr>
        <w:t>framework</w:t>
      </w:r>
      <w:proofErr w:type="spellEnd"/>
    </w:p>
    <w:p w14:paraId="03CC3FE2" w14:textId="32C6D799" w:rsidR="00374321" w:rsidRPr="00374321" w:rsidRDefault="00374321" w:rsidP="00374321">
      <w:pPr>
        <w:numPr>
          <w:ilvl w:val="0"/>
          <w:numId w:val="36"/>
        </w:numPr>
        <w:tabs>
          <w:tab w:val="left" w:pos="1622"/>
        </w:tabs>
        <w:overflowPunct/>
        <w:autoSpaceDE/>
        <w:autoSpaceDN/>
        <w:adjustRightInd/>
        <w:spacing w:after="0"/>
        <w:textAlignment w:val="auto"/>
        <w:rPr>
          <w:rFonts w:ascii="Arial" w:eastAsia="MS Mincho" w:hAnsi="Arial"/>
          <w:sz w:val="22"/>
          <w:szCs w:val="24"/>
          <w:lang w:val="x-none" w:eastAsia="en-GB"/>
        </w:rPr>
      </w:pPr>
      <w:r w:rsidRPr="00374321">
        <w:rPr>
          <w:rFonts w:ascii="Arial" w:eastAsia="MS Mincho" w:hAnsi="Arial"/>
          <w:sz w:val="22"/>
          <w:szCs w:val="24"/>
          <w:lang w:val="en-US" w:eastAsia="en-GB"/>
        </w:rPr>
        <w:t>PHR</w:t>
      </w:r>
    </w:p>
    <w:p w14:paraId="1149DD8E" w14:textId="0353A967" w:rsidR="00374321" w:rsidRPr="00BF473B" w:rsidRDefault="00374321" w:rsidP="00374321">
      <w:pPr>
        <w:numPr>
          <w:ilvl w:val="0"/>
          <w:numId w:val="36"/>
        </w:numPr>
        <w:tabs>
          <w:tab w:val="left" w:pos="1622"/>
        </w:tabs>
        <w:overflowPunct/>
        <w:autoSpaceDE/>
        <w:autoSpaceDN/>
        <w:adjustRightInd/>
        <w:spacing w:after="0"/>
        <w:textAlignment w:val="auto"/>
        <w:rPr>
          <w:rFonts w:ascii="Arial" w:eastAsia="MS Mincho" w:hAnsi="Arial"/>
          <w:sz w:val="22"/>
          <w:szCs w:val="24"/>
          <w:lang w:val="x-none" w:eastAsia="en-GB"/>
        </w:rPr>
      </w:pPr>
      <w:r>
        <w:rPr>
          <w:rFonts w:ascii="Arial" w:eastAsia="MS Mincho" w:hAnsi="Arial"/>
          <w:sz w:val="22"/>
          <w:szCs w:val="24"/>
          <w:lang w:val="en-US" w:eastAsia="en-GB"/>
        </w:rPr>
        <w:t>TAT</w:t>
      </w:r>
    </w:p>
    <w:p w14:paraId="3B967BD5" w14:textId="68548C92" w:rsidR="00226EEB" w:rsidRPr="00374321" w:rsidRDefault="00126613" w:rsidP="00374321">
      <w:pPr>
        <w:numPr>
          <w:ilvl w:val="0"/>
          <w:numId w:val="36"/>
        </w:numPr>
        <w:tabs>
          <w:tab w:val="left" w:pos="1622"/>
        </w:tabs>
        <w:overflowPunct/>
        <w:autoSpaceDE/>
        <w:autoSpaceDN/>
        <w:adjustRightInd/>
        <w:spacing w:after="0"/>
        <w:textAlignment w:val="auto"/>
        <w:rPr>
          <w:rFonts w:ascii="Arial" w:eastAsia="MS Mincho" w:hAnsi="Arial"/>
          <w:sz w:val="22"/>
          <w:szCs w:val="24"/>
          <w:lang w:val="x-none" w:eastAsia="en-GB"/>
        </w:rPr>
      </w:pPr>
      <w:r>
        <w:rPr>
          <w:rFonts w:ascii="Arial" w:eastAsia="MS Mincho" w:hAnsi="Arial"/>
          <w:sz w:val="22"/>
          <w:szCs w:val="24"/>
          <w:lang w:val="en-US" w:eastAsia="en-GB"/>
        </w:rPr>
        <w:t>S</w:t>
      </w:r>
      <w:r w:rsidR="00582044" w:rsidRPr="00BF473B">
        <w:rPr>
          <w:rFonts w:ascii="Arial" w:eastAsia="MS Mincho" w:hAnsi="Arial"/>
          <w:sz w:val="22"/>
          <w:szCs w:val="24"/>
          <w:lang w:val="en-US" w:eastAsia="en-GB"/>
        </w:rPr>
        <w:t>upport</w:t>
      </w:r>
      <w:r>
        <w:rPr>
          <w:rFonts w:ascii="Arial" w:eastAsia="MS Mincho" w:hAnsi="Arial"/>
          <w:sz w:val="22"/>
          <w:szCs w:val="24"/>
          <w:lang w:val="en-US" w:eastAsia="en-GB"/>
        </w:rPr>
        <w:t xml:space="preserve"> for unlicensed operation</w:t>
      </w:r>
    </w:p>
    <w:p w14:paraId="226B631E" w14:textId="77777777" w:rsidR="004000E8" w:rsidRPr="003A2B6B" w:rsidRDefault="00230D18" w:rsidP="00CE0424">
      <w:pPr>
        <w:pStyle w:val="Heading1"/>
      </w:pPr>
      <w:bookmarkStart w:id="1" w:name="_Ref178064866"/>
      <w:r w:rsidRPr="003A2B6B">
        <w:t>2</w:t>
      </w:r>
      <w:r w:rsidRPr="003A2B6B">
        <w:tab/>
      </w:r>
      <w:r w:rsidR="004000E8" w:rsidRPr="003A2B6B">
        <w:t>Discussion</w:t>
      </w:r>
      <w:bookmarkEnd w:id="1"/>
    </w:p>
    <w:p w14:paraId="35CD01FB" w14:textId="71D93F53" w:rsidR="00BD0FBA" w:rsidRPr="003A2B6B" w:rsidRDefault="00756B25" w:rsidP="008222CD">
      <w:pPr>
        <w:pStyle w:val="Heading2"/>
      </w:pPr>
      <w:r w:rsidRPr="003A2B6B">
        <w:t>2.</w:t>
      </w:r>
      <w:r w:rsidR="00B07CAD" w:rsidRPr="003A2B6B">
        <w:t>1</w:t>
      </w:r>
      <w:r w:rsidRPr="003A2B6B">
        <w:tab/>
      </w:r>
      <w:r w:rsidR="00EF6B0B">
        <w:t>SUL and NUL selection</w:t>
      </w:r>
    </w:p>
    <w:p w14:paraId="1631C084" w14:textId="68C954C4" w:rsidR="00511F82" w:rsidRDefault="004A208F" w:rsidP="00511F82">
      <w:pPr>
        <w:pStyle w:val="BodyText"/>
      </w:pPr>
      <w:r w:rsidRPr="004A208F">
        <w:rPr>
          <w:rFonts w:eastAsia="Times New Roman"/>
        </w:rPr>
        <w:t>One aspect that we think needs more discussion is the operation of SDT using SUL or NUL carrier</w:t>
      </w:r>
      <w:r w:rsidR="00511F82">
        <w:rPr>
          <w:rFonts w:eastAsia="Times New Roman"/>
        </w:rPr>
        <w:t>.</w:t>
      </w:r>
      <w:r w:rsidRPr="004A208F">
        <w:rPr>
          <w:rFonts w:eastAsia="Times New Roman"/>
        </w:rPr>
        <w:t xml:space="preserve"> </w:t>
      </w:r>
      <w:r w:rsidR="00511F82" w:rsidRPr="006D13FF">
        <w:t xml:space="preserve">Even </w:t>
      </w:r>
      <w:r w:rsidR="00511F82">
        <w:t xml:space="preserve">if the carrier is selected before selecting between CG and RA based SDT procedure, there is also a NUL/SUL selection in the RA procedure which is also based on </w:t>
      </w:r>
      <w:r w:rsidR="008C263C">
        <w:t>an</w:t>
      </w:r>
      <w:r w:rsidR="00511F82">
        <w:t xml:space="preserve"> RSRP level. There could be situations where different RSRP thresholds would be configured, </w:t>
      </w:r>
      <w:proofErr w:type="gramStart"/>
      <w:r w:rsidR="00511F82">
        <w:t>e.g.</w:t>
      </w:r>
      <w:proofErr w:type="gramEnd"/>
      <w:r w:rsidR="00511F82">
        <w:t xml:space="preserve"> in case that CG-SDT would have different requirements for sufficient performance compared to those of RA-SDT. In this case it could happen that the UE first selects </w:t>
      </w:r>
      <w:proofErr w:type="gramStart"/>
      <w:r w:rsidR="00511F82">
        <w:t>e.g.</w:t>
      </w:r>
      <w:proofErr w:type="gramEnd"/>
      <w:r w:rsidR="00511F82">
        <w:t xml:space="preserve"> SUL but then either has no CG configuration on this carrier or fails to have a valid TA and at the following NUL/SUL selection in the RA procedure, the UE re-selects to the other carrier. This could be avoided by configuring the same RSRP threshold, but another option is to skip the SUL/NUL selection in the RA-SDT procedure, thereby ensuring that once the carrier is selected, the UE remains on the selected carrier.</w:t>
      </w:r>
    </w:p>
    <w:p w14:paraId="0DB33A15" w14:textId="77777777" w:rsidR="00511F82" w:rsidRDefault="00511F82" w:rsidP="00511F82">
      <w:pPr>
        <w:pStyle w:val="Proposal"/>
      </w:pPr>
      <w:bookmarkStart w:id="2" w:name="_Toc85740963"/>
      <w:r>
        <w:t xml:space="preserve">Once the SUL or NUL has been selected in the SDT procedure, it is not re-evaluated in the </w:t>
      </w:r>
      <w:proofErr w:type="gramStart"/>
      <w:r>
        <w:t>Random access</w:t>
      </w:r>
      <w:proofErr w:type="gramEnd"/>
      <w:r>
        <w:t xml:space="preserve"> procedure</w:t>
      </w:r>
      <w:bookmarkEnd w:id="2"/>
      <w:r>
        <w:t xml:space="preserve"> </w:t>
      </w:r>
    </w:p>
    <w:p w14:paraId="2DA96552" w14:textId="0486B14C" w:rsidR="007636C1" w:rsidRPr="003A2B6B" w:rsidRDefault="007636C1" w:rsidP="007636C1">
      <w:pPr>
        <w:pStyle w:val="Heading2"/>
      </w:pPr>
      <w:bookmarkStart w:id="3" w:name="_Toc78893461"/>
      <w:bookmarkStart w:id="4" w:name="_Toc78967722"/>
      <w:bookmarkStart w:id="5" w:name="_Toc78967750"/>
      <w:bookmarkStart w:id="6" w:name="_Toc78893462"/>
      <w:bookmarkStart w:id="7" w:name="_Toc78967723"/>
      <w:bookmarkStart w:id="8" w:name="_Toc78967751"/>
      <w:bookmarkStart w:id="9" w:name="_Toc78893463"/>
      <w:bookmarkStart w:id="10" w:name="_Toc78967724"/>
      <w:bookmarkStart w:id="11" w:name="_Toc78967752"/>
      <w:bookmarkStart w:id="12" w:name="_Toc78893464"/>
      <w:bookmarkStart w:id="13" w:name="_Toc78967725"/>
      <w:bookmarkStart w:id="14" w:name="_Toc78967753"/>
      <w:bookmarkStart w:id="15" w:name="_Toc78893465"/>
      <w:bookmarkStart w:id="16" w:name="_Toc78967726"/>
      <w:bookmarkStart w:id="17" w:name="_Toc78967754"/>
      <w:bookmarkStart w:id="18" w:name="_Toc78893466"/>
      <w:bookmarkStart w:id="19" w:name="_Toc78967727"/>
      <w:bookmarkStart w:id="20" w:name="_Toc78967755"/>
      <w:bookmarkStart w:id="21" w:name="_Toc78893467"/>
      <w:bookmarkStart w:id="22" w:name="_Toc78967728"/>
      <w:bookmarkStart w:id="23" w:name="_Toc78967756"/>
      <w:bookmarkStart w:id="24" w:name="_Toc78893468"/>
      <w:bookmarkStart w:id="25" w:name="_Toc78967729"/>
      <w:bookmarkStart w:id="26" w:name="_Toc78967757"/>
      <w:bookmarkStart w:id="27" w:name="_Toc78893469"/>
      <w:bookmarkStart w:id="28" w:name="_Toc78967730"/>
      <w:bookmarkStart w:id="29" w:name="_Toc78967758"/>
      <w:bookmarkStart w:id="30" w:name="_Toc78893470"/>
      <w:bookmarkStart w:id="31" w:name="_Toc78967731"/>
      <w:bookmarkStart w:id="32" w:name="_Toc78967759"/>
      <w:bookmarkStart w:id="33" w:name="_Toc78893471"/>
      <w:bookmarkStart w:id="34" w:name="_Toc78967732"/>
      <w:bookmarkStart w:id="35" w:name="_Toc78967760"/>
      <w:bookmarkStart w:id="36" w:name="_Toc78893472"/>
      <w:bookmarkStart w:id="37" w:name="_Toc78967733"/>
      <w:bookmarkStart w:id="38" w:name="_Toc78967761"/>
      <w:bookmarkStart w:id="39" w:name="_Toc78893473"/>
      <w:bookmarkStart w:id="40" w:name="_Toc78967734"/>
      <w:bookmarkStart w:id="41" w:name="_Toc78967762"/>
      <w:bookmarkStart w:id="42" w:name="_Toc78893474"/>
      <w:bookmarkStart w:id="43" w:name="_Toc78967735"/>
      <w:bookmarkStart w:id="44" w:name="_Toc78967763"/>
      <w:bookmarkStart w:id="45" w:name="_Toc78893475"/>
      <w:bookmarkStart w:id="46" w:name="_Toc78967736"/>
      <w:bookmarkStart w:id="47" w:name="_Toc78967764"/>
      <w:bookmarkStart w:id="48" w:name="_Toc78893476"/>
      <w:bookmarkStart w:id="49" w:name="_Toc78967737"/>
      <w:bookmarkStart w:id="50" w:name="_Toc78967765"/>
      <w:bookmarkStart w:id="51" w:name="_Toc78893477"/>
      <w:bookmarkStart w:id="52" w:name="_Toc78967738"/>
      <w:bookmarkStart w:id="53" w:name="_Toc78967766"/>
      <w:bookmarkStart w:id="54" w:name="_Toc78893478"/>
      <w:bookmarkStart w:id="55" w:name="_Toc78967739"/>
      <w:bookmarkStart w:id="56" w:name="_Toc78967767"/>
      <w:bookmarkStart w:id="57" w:name="_Toc78893479"/>
      <w:bookmarkStart w:id="58" w:name="_Toc78967740"/>
      <w:bookmarkStart w:id="59" w:name="_Toc7896776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3A2B6B">
        <w:t>2.</w:t>
      </w:r>
      <w:r w:rsidR="00B07CAD" w:rsidRPr="003A2B6B">
        <w:t>2</w:t>
      </w:r>
      <w:r w:rsidRPr="003A2B6B">
        <w:tab/>
      </w:r>
      <w:r w:rsidR="004A208F">
        <w:t>BSR</w:t>
      </w:r>
    </w:p>
    <w:p w14:paraId="6B6D4B78" w14:textId="0EC5BF25" w:rsidR="008323D0" w:rsidRDefault="004A208F" w:rsidP="00172805">
      <w:pPr>
        <w:pStyle w:val="BodyText"/>
        <w:rPr>
          <w:rFonts w:eastAsia="MS Mincho"/>
          <w:szCs w:val="24"/>
          <w:lang w:eastAsia="en-GB"/>
        </w:rPr>
      </w:pPr>
      <w:r>
        <w:t xml:space="preserve">From the agreements in RAN2#112e, </w:t>
      </w:r>
      <w:r>
        <w:rPr>
          <w:rFonts w:eastAsia="MS Mincho"/>
          <w:szCs w:val="24"/>
          <w:lang w:eastAsia="en-GB"/>
        </w:rPr>
        <w:t>t</w:t>
      </w:r>
      <w:r w:rsidRPr="00D82491">
        <w:rPr>
          <w:rFonts w:eastAsia="MS Mincho"/>
          <w:szCs w:val="24"/>
          <w:lang w:eastAsia="en-GB"/>
        </w:rPr>
        <w:t>he first UL message (</w:t>
      </w:r>
      <w:proofErr w:type="gramStart"/>
      <w:r w:rsidRPr="00D82491">
        <w:rPr>
          <w:rFonts w:eastAsia="MS Mincho"/>
          <w:szCs w:val="24"/>
          <w:lang w:eastAsia="en-GB"/>
        </w:rPr>
        <w:t>i.e.</w:t>
      </w:r>
      <w:proofErr w:type="gramEnd"/>
      <w:r w:rsidRPr="00D82491">
        <w:rPr>
          <w:rFonts w:eastAsia="MS Mincho"/>
          <w:szCs w:val="24"/>
          <w:lang w:eastAsia="en-GB"/>
        </w:rPr>
        <w:t xml:space="preserve"> MSG3 for 4-step RACH, MSGA payload for 2-step RACH and the CG transmission for CG) may contain a</w:t>
      </w:r>
      <w:r>
        <w:rPr>
          <w:rFonts w:eastAsia="MS Mincho"/>
          <w:szCs w:val="24"/>
          <w:lang w:eastAsia="en-GB"/>
        </w:rPr>
        <w:t xml:space="preserve"> BSR. This enables the UE to inform the </w:t>
      </w:r>
      <w:proofErr w:type="spellStart"/>
      <w:r>
        <w:rPr>
          <w:rFonts w:eastAsia="MS Mincho"/>
          <w:szCs w:val="24"/>
          <w:lang w:eastAsia="en-GB"/>
        </w:rPr>
        <w:t>gNB</w:t>
      </w:r>
      <w:proofErr w:type="spellEnd"/>
      <w:r>
        <w:rPr>
          <w:rFonts w:eastAsia="MS Mincho"/>
          <w:szCs w:val="24"/>
          <w:lang w:eastAsia="en-GB"/>
        </w:rPr>
        <w:t xml:space="preserve"> of the amount of data remaining in the buffer after the first transmission and thereby be able to provide additional grant(s). According to legacy BSR triggering conditions, no new BSR is triggered for new data arriving to the same LCG unless the buffer becomes empty</w:t>
      </w:r>
      <w:r w:rsidR="00C411F4">
        <w:rPr>
          <w:rFonts w:eastAsia="MS Mincho"/>
          <w:szCs w:val="24"/>
          <w:lang w:eastAsia="en-GB"/>
        </w:rPr>
        <w:t xml:space="preserve"> or a periodic BSR is configured</w:t>
      </w:r>
      <w:r>
        <w:rPr>
          <w:rFonts w:eastAsia="MS Mincho"/>
          <w:szCs w:val="24"/>
          <w:lang w:eastAsia="en-GB"/>
        </w:rPr>
        <w:t xml:space="preserve">. However, in legacy the </w:t>
      </w:r>
      <w:proofErr w:type="spellStart"/>
      <w:r>
        <w:rPr>
          <w:rFonts w:eastAsia="MS Mincho"/>
          <w:szCs w:val="24"/>
          <w:lang w:eastAsia="en-GB"/>
        </w:rPr>
        <w:t>gNB</w:t>
      </w:r>
      <w:proofErr w:type="spellEnd"/>
      <w:r>
        <w:rPr>
          <w:rFonts w:eastAsia="MS Mincho"/>
          <w:szCs w:val="24"/>
          <w:lang w:eastAsia="en-GB"/>
        </w:rPr>
        <w:t xml:space="preserve"> can derive that data is still in the buffer by issuing a grant larger than data amount in the buffer indicated in the BSR by noticing that the TB is filled (no padding)</w:t>
      </w:r>
      <w:r w:rsidR="003C65DB">
        <w:rPr>
          <w:rFonts w:eastAsia="MS Mincho"/>
          <w:szCs w:val="24"/>
          <w:lang w:eastAsia="en-GB"/>
        </w:rPr>
        <w:t xml:space="preserve"> or by configuring periodic BSR</w:t>
      </w:r>
      <w:r>
        <w:rPr>
          <w:rFonts w:eastAsia="MS Mincho"/>
          <w:szCs w:val="24"/>
          <w:lang w:eastAsia="en-GB"/>
        </w:rPr>
        <w:t>. Th</w:t>
      </w:r>
      <w:r w:rsidR="003C65DB">
        <w:rPr>
          <w:rFonts w:eastAsia="MS Mincho"/>
          <w:szCs w:val="24"/>
          <w:lang w:eastAsia="en-GB"/>
        </w:rPr>
        <w:t>ese</w:t>
      </w:r>
      <w:r>
        <w:rPr>
          <w:rFonts w:eastAsia="MS Mincho"/>
          <w:szCs w:val="24"/>
          <w:lang w:eastAsia="en-GB"/>
        </w:rPr>
        <w:t xml:space="preserve"> mechanism</w:t>
      </w:r>
      <w:r w:rsidR="003C65DB">
        <w:rPr>
          <w:rFonts w:eastAsia="MS Mincho"/>
          <w:szCs w:val="24"/>
          <w:lang w:eastAsia="en-GB"/>
        </w:rPr>
        <w:t>s</w:t>
      </w:r>
      <w:r>
        <w:rPr>
          <w:rFonts w:eastAsia="MS Mincho"/>
          <w:szCs w:val="24"/>
          <w:lang w:eastAsia="en-GB"/>
        </w:rPr>
        <w:t xml:space="preserve"> should be sufficient also for SDT. </w:t>
      </w:r>
      <w:r w:rsidR="00253053">
        <w:rPr>
          <w:rFonts w:eastAsia="MS Mincho"/>
          <w:szCs w:val="24"/>
          <w:lang w:eastAsia="en-GB"/>
        </w:rPr>
        <w:t>The BSR framework</w:t>
      </w:r>
      <w:r w:rsidR="006159C5">
        <w:rPr>
          <w:rFonts w:eastAsia="MS Mincho"/>
          <w:szCs w:val="24"/>
          <w:lang w:eastAsia="en-GB"/>
        </w:rPr>
        <w:t xml:space="preserve"> </w:t>
      </w:r>
      <w:r w:rsidR="00AB2432">
        <w:rPr>
          <w:rFonts w:eastAsia="MS Mincho"/>
          <w:szCs w:val="24"/>
          <w:lang w:eastAsia="en-GB"/>
        </w:rPr>
        <w:t xml:space="preserve">is flexible enough to </w:t>
      </w:r>
      <w:proofErr w:type="gramStart"/>
      <w:r w:rsidR="00657E43">
        <w:rPr>
          <w:rFonts w:eastAsia="MS Mincho"/>
          <w:szCs w:val="24"/>
          <w:lang w:eastAsia="en-GB"/>
        </w:rPr>
        <w:t xml:space="preserve">make </w:t>
      </w:r>
      <w:r w:rsidR="008107C2">
        <w:rPr>
          <w:rFonts w:eastAsia="MS Mincho"/>
          <w:szCs w:val="24"/>
          <w:lang w:eastAsia="en-GB"/>
        </w:rPr>
        <w:t>also</w:t>
      </w:r>
      <w:proofErr w:type="gramEnd"/>
      <w:r w:rsidR="008107C2">
        <w:rPr>
          <w:rFonts w:eastAsia="MS Mincho"/>
          <w:szCs w:val="24"/>
          <w:lang w:eastAsia="en-GB"/>
        </w:rPr>
        <w:t xml:space="preserve"> assistance information</w:t>
      </w:r>
      <w:r w:rsidR="00AC661A">
        <w:rPr>
          <w:rFonts w:eastAsia="MS Mincho"/>
          <w:szCs w:val="24"/>
          <w:lang w:eastAsia="en-GB"/>
        </w:rPr>
        <w:t xml:space="preserve"> for positioning reports</w:t>
      </w:r>
      <w:r w:rsidR="008107C2">
        <w:rPr>
          <w:rFonts w:eastAsia="MS Mincho"/>
          <w:szCs w:val="24"/>
          <w:lang w:eastAsia="en-GB"/>
        </w:rPr>
        <w:t xml:space="preserve"> </w:t>
      </w:r>
      <w:r w:rsidR="00CF39F0">
        <w:rPr>
          <w:rFonts w:eastAsia="MS Mincho"/>
          <w:szCs w:val="24"/>
          <w:lang w:eastAsia="en-GB"/>
        </w:rPr>
        <w:t xml:space="preserve">such as </w:t>
      </w:r>
      <w:r w:rsidR="00CE401B">
        <w:rPr>
          <w:rFonts w:eastAsia="MS Mincho"/>
          <w:szCs w:val="24"/>
          <w:lang w:eastAsia="en-GB"/>
        </w:rPr>
        <w:t>being discussed in</w:t>
      </w:r>
      <w:r w:rsidR="00C60700">
        <w:rPr>
          <w:rFonts w:eastAsia="MS Mincho"/>
          <w:szCs w:val="24"/>
          <w:lang w:eastAsia="en-GB"/>
        </w:rPr>
        <w:t xml:space="preserve"> </w:t>
      </w:r>
      <w:r w:rsidR="005A2AA4">
        <w:rPr>
          <w:rFonts w:eastAsia="MS Mincho"/>
          <w:szCs w:val="24"/>
          <w:lang w:eastAsia="en-GB"/>
        </w:rPr>
        <w:fldChar w:fldCharType="begin"/>
      </w:r>
      <w:r w:rsidR="005A2AA4">
        <w:rPr>
          <w:rFonts w:eastAsia="MS Mincho"/>
          <w:szCs w:val="24"/>
          <w:lang w:eastAsia="en-GB"/>
        </w:rPr>
        <w:instrText xml:space="preserve"> REF _Ref85010085 \r \h </w:instrText>
      </w:r>
      <w:r w:rsidR="005A2AA4">
        <w:rPr>
          <w:rFonts w:eastAsia="MS Mincho"/>
          <w:szCs w:val="24"/>
          <w:lang w:eastAsia="en-GB"/>
        </w:rPr>
      </w:r>
      <w:r w:rsidR="005A2AA4">
        <w:rPr>
          <w:rFonts w:eastAsia="MS Mincho"/>
          <w:szCs w:val="24"/>
          <w:lang w:eastAsia="en-GB"/>
        </w:rPr>
        <w:fldChar w:fldCharType="separate"/>
      </w:r>
      <w:r w:rsidR="005A2AA4">
        <w:rPr>
          <w:rFonts w:eastAsia="MS Mincho"/>
          <w:szCs w:val="24"/>
          <w:lang w:eastAsia="en-GB"/>
        </w:rPr>
        <w:t>[4]</w:t>
      </w:r>
      <w:r w:rsidR="005A2AA4">
        <w:rPr>
          <w:rFonts w:eastAsia="MS Mincho"/>
          <w:szCs w:val="24"/>
          <w:lang w:eastAsia="en-GB"/>
        </w:rPr>
        <w:fldChar w:fldCharType="end"/>
      </w:r>
      <w:r w:rsidR="00CE401B">
        <w:rPr>
          <w:rFonts w:eastAsia="MS Mincho"/>
          <w:szCs w:val="24"/>
          <w:lang w:eastAsia="en-GB"/>
        </w:rPr>
        <w:t xml:space="preserve"> </w:t>
      </w:r>
      <w:r w:rsidR="008107C2">
        <w:rPr>
          <w:rFonts w:eastAsia="MS Mincho"/>
          <w:szCs w:val="24"/>
          <w:lang w:eastAsia="en-GB"/>
        </w:rPr>
        <w:t xml:space="preserve">unnecessary. </w:t>
      </w:r>
      <w:r w:rsidR="00922D90">
        <w:rPr>
          <w:rFonts w:eastAsia="MS Mincho"/>
          <w:szCs w:val="24"/>
          <w:lang w:eastAsia="en-GB"/>
        </w:rPr>
        <w:t>The BSR</w:t>
      </w:r>
      <w:r w:rsidR="005944E0">
        <w:rPr>
          <w:rFonts w:eastAsia="MS Mincho"/>
          <w:szCs w:val="24"/>
          <w:lang w:eastAsia="en-GB"/>
        </w:rPr>
        <w:t xml:space="preserve"> framework</w:t>
      </w:r>
      <w:r w:rsidR="003B5E5C">
        <w:rPr>
          <w:rFonts w:eastAsia="MS Mincho"/>
          <w:szCs w:val="24"/>
          <w:lang w:eastAsia="en-GB"/>
        </w:rPr>
        <w:t xml:space="preserve"> and </w:t>
      </w:r>
      <w:r w:rsidR="009A639B">
        <w:rPr>
          <w:rFonts w:eastAsia="MS Mincho"/>
          <w:szCs w:val="24"/>
          <w:lang w:eastAsia="en-GB"/>
        </w:rPr>
        <w:t>proper</w:t>
      </w:r>
      <w:r w:rsidR="00C54DED">
        <w:rPr>
          <w:rFonts w:eastAsia="MS Mincho"/>
          <w:szCs w:val="24"/>
          <w:lang w:eastAsia="en-GB"/>
        </w:rPr>
        <w:t xml:space="preserve"> SDT</w:t>
      </w:r>
      <w:r w:rsidR="009A639B">
        <w:rPr>
          <w:rFonts w:eastAsia="MS Mincho"/>
          <w:szCs w:val="24"/>
          <w:lang w:eastAsia="en-GB"/>
        </w:rPr>
        <w:t xml:space="preserve"> </w:t>
      </w:r>
      <w:r w:rsidR="009A639B">
        <w:rPr>
          <w:rFonts w:eastAsia="MS Mincho"/>
          <w:szCs w:val="24"/>
          <w:lang w:eastAsia="en-GB"/>
        </w:rPr>
        <w:lastRenderedPageBreak/>
        <w:t xml:space="preserve">configuration </w:t>
      </w:r>
      <w:r w:rsidR="003B5E5C">
        <w:rPr>
          <w:rFonts w:eastAsia="MS Mincho"/>
          <w:szCs w:val="24"/>
          <w:lang w:eastAsia="en-GB"/>
        </w:rPr>
        <w:t>will ensure that</w:t>
      </w:r>
      <w:r w:rsidR="00922D90">
        <w:rPr>
          <w:rFonts w:eastAsia="MS Mincho"/>
          <w:szCs w:val="24"/>
          <w:lang w:eastAsia="en-GB"/>
        </w:rPr>
        <w:t xml:space="preserve"> SDT </w:t>
      </w:r>
      <w:r w:rsidR="003B5E5C">
        <w:rPr>
          <w:rFonts w:eastAsia="MS Mincho"/>
          <w:szCs w:val="24"/>
          <w:lang w:eastAsia="en-GB"/>
        </w:rPr>
        <w:t xml:space="preserve">can </w:t>
      </w:r>
      <w:r w:rsidR="00922D90">
        <w:rPr>
          <w:rFonts w:eastAsia="MS Mincho"/>
          <w:szCs w:val="24"/>
          <w:lang w:eastAsia="en-GB"/>
        </w:rPr>
        <w:t>handle any data arrival</w:t>
      </w:r>
      <w:r w:rsidR="00772A5F">
        <w:rPr>
          <w:rFonts w:eastAsia="MS Mincho"/>
          <w:szCs w:val="24"/>
          <w:lang w:eastAsia="en-GB"/>
        </w:rPr>
        <w:t xml:space="preserve"> within the limit of the DVT irrespective of periodicity</w:t>
      </w:r>
      <w:r w:rsidR="009A639B">
        <w:rPr>
          <w:rFonts w:eastAsia="MS Mincho"/>
          <w:szCs w:val="24"/>
          <w:lang w:eastAsia="en-GB"/>
        </w:rPr>
        <w:t>.</w:t>
      </w:r>
    </w:p>
    <w:p w14:paraId="752D99C1" w14:textId="77777777" w:rsidR="003C65DB" w:rsidRPr="00BF473B" w:rsidRDefault="003C65DB" w:rsidP="003C65DB">
      <w:pPr>
        <w:spacing w:after="120"/>
        <w:jc w:val="both"/>
        <w:rPr>
          <w:rFonts w:ascii="Arial" w:eastAsia="Times New Roman" w:hAnsi="Arial"/>
          <w:lang w:val="en-US" w:eastAsia="zh-CN"/>
        </w:rPr>
      </w:pPr>
    </w:p>
    <w:p w14:paraId="4D8EB663" w14:textId="77777777" w:rsidR="003C65DB" w:rsidRPr="00A04F49" w:rsidRDefault="003C65DB" w:rsidP="003C65DB">
      <w:pPr>
        <w:pStyle w:val="Observation"/>
      </w:pPr>
      <w:bookmarkStart w:id="60" w:name="_Toc85010550"/>
      <w:r>
        <w:t>Legacy BSR triggers are sufficient to handle arrival of new SDT data and transmission (multiplexing of BSR into the MAC PDU, when triggered)</w:t>
      </w:r>
      <w:r w:rsidRPr="00A04F49">
        <w:t>.</w:t>
      </w:r>
      <w:bookmarkEnd w:id="60"/>
    </w:p>
    <w:p w14:paraId="514FEDAE" w14:textId="086BAAB3" w:rsidR="00226EEB" w:rsidRDefault="009F747C" w:rsidP="004A208F">
      <w:pPr>
        <w:pStyle w:val="BodyText"/>
      </w:pPr>
      <w:bookmarkStart w:id="61" w:name="_Toc67908403"/>
      <w:bookmarkStart w:id="62" w:name="_Toc67908880"/>
      <w:bookmarkStart w:id="63" w:name="_Toc67987785"/>
      <w:bookmarkEnd w:id="61"/>
      <w:bookmarkEnd w:id="62"/>
      <w:bookmarkEnd w:id="63"/>
      <w:r>
        <w:t xml:space="preserve">The </w:t>
      </w:r>
      <w:r w:rsidR="00226EEB">
        <w:t>BSR config</w:t>
      </w:r>
      <w:r>
        <w:t xml:space="preserve">uration for SDT was discussed in RAN2#115-e. We believe that it is natural for the </w:t>
      </w:r>
      <w:proofErr w:type="spellStart"/>
      <w:r>
        <w:t>gNB</w:t>
      </w:r>
      <w:proofErr w:type="spellEnd"/>
      <w:r>
        <w:t xml:space="preserve"> to configure appropriate parameters for SDT. The default setting in</w:t>
      </w:r>
      <w:r w:rsidR="006614F4">
        <w:t xml:space="preserve"> the default MAC Cell Group configuration </w:t>
      </w:r>
      <w:r w:rsidR="00B83783">
        <w:t>may be</w:t>
      </w:r>
      <w:r w:rsidR="006614F4">
        <w:t xml:space="preserve"> to</w:t>
      </w:r>
      <w:r w:rsidR="00FD35BA">
        <w:t>o</w:t>
      </w:r>
      <w:r w:rsidR="006614F4">
        <w:t xml:space="preserve"> restrictive</w:t>
      </w:r>
      <w:r w:rsidR="00B83783">
        <w:t xml:space="preserve"> and we therefore propose</w:t>
      </w:r>
      <w:r w:rsidR="00E146AB">
        <w:t>d</w:t>
      </w:r>
      <w:r w:rsidR="00A4426A">
        <w:t xml:space="preserve"> configure them separately for SDT </w:t>
      </w:r>
      <w:r w:rsidR="00E146AB">
        <w:t xml:space="preserve">in the </w:t>
      </w:r>
      <w:proofErr w:type="spellStart"/>
      <w:r w:rsidR="00E146AB">
        <w:t>RRCRelease</w:t>
      </w:r>
      <w:proofErr w:type="spellEnd"/>
      <w:r w:rsidR="00E146AB">
        <w:t xml:space="preserve"> message or in SI.</w:t>
      </w:r>
      <w:r w:rsidR="007C1918">
        <w:t xml:space="preserve"> We propose</w:t>
      </w:r>
    </w:p>
    <w:p w14:paraId="0F4BA411" w14:textId="77777777" w:rsidR="007C1918" w:rsidRDefault="007C1918" w:rsidP="007C1918">
      <w:pPr>
        <w:pStyle w:val="BodyText"/>
      </w:pPr>
    </w:p>
    <w:p w14:paraId="4E2D1797" w14:textId="3720F5B3" w:rsidR="007C1918" w:rsidRDefault="007C1918" w:rsidP="007C1918">
      <w:pPr>
        <w:pStyle w:val="Proposal"/>
      </w:pPr>
      <w:bookmarkStart w:id="64" w:name="_Toc85740964"/>
      <w:r>
        <w:t xml:space="preserve">The BSR parameters for </w:t>
      </w:r>
      <w:r w:rsidRPr="00025F4C">
        <w:t xml:space="preserve">SDT </w:t>
      </w:r>
      <w:proofErr w:type="spellStart"/>
      <w:r w:rsidRPr="00BF473B">
        <w:rPr>
          <w:i/>
          <w:lang w:eastAsia="en-GB"/>
        </w:rPr>
        <w:t>periodicBSR</w:t>
      </w:r>
      <w:proofErr w:type="spellEnd"/>
      <w:r w:rsidRPr="00BF473B">
        <w:rPr>
          <w:i/>
          <w:lang w:eastAsia="en-GB"/>
        </w:rPr>
        <w:t>-Timer</w:t>
      </w:r>
      <w:r w:rsidRPr="00025F4C">
        <w:rPr>
          <w:i/>
          <w:lang w:eastAsia="en-GB"/>
        </w:rPr>
        <w:t xml:space="preserve"> </w:t>
      </w:r>
      <w:r w:rsidRPr="00BF473B">
        <w:t>and</w:t>
      </w:r>
      <w:r w:rsidRPr="00025F4C">
        <w:rPr>
          <w:i/>
          <w:lang w:eastAsia="en-GB"/>
        </w:rPr>
        <w:t xml:space="preserve"> </w:t>
      </w:r>
      <w:proofErr w:type="spellStart"/>
      <w:r w:rsidRPr="00BF473B">
        <w:rPr>
          <w:i/>
          <w:lang w:eastAsia="en-GB"/>
        </w:rPr>
        <w:t>retxBSR</w:t>
      </w:r>
      <w:proofErr w:type="spellEnd"/>
      <w:r w:rsidRPr="00BF473B">
        <w:rPr>
          <w:i/>
          <w:lang w:eastAsia="en-GB"/>
        </w:rPr>
        <w:t>-Timer</w:t>
      </w:r>
      <w:r w:rsidRPr="00025F4C">
        <w:rPr>
          <w:i/>
          <w:lang w:eastAsia="en-GB"/>
        </w:rPr>
        <w:t xml:space="preserve"> </w:t>
      </w:r>
      <w:r w:rsidRPr="00BF473B">
        <w:t>should be</w:t>
      </w:r>
      <w:r>
        <w:t xml:space="preserve"> configurable via </w:t>
      </w:r>
      <w:proofErr w:type="spellStart"/>
      <w:r>
        <w:t>RRCRelease</w:t>
      </w:r>
      <w:proofErr w:type="spellEnd"/>
      <w:r>
        <w:t xml:space="preserve"> or SI.</w:t>
      </w:r>
      <w:bookmarkEnd w:id="64"/>
    </w:p>
    <w:p w14:paraId="63E1E70E" w14:textId="6E929A5B" w:rsidR="007C1918" w:rsidRDefault="007C1918" w:rsidP="007C1918">
      <w:pPr>
        <w:pStyle w:val="Proposal"/>
      </w:pPr>
      <w:bookmarkStart w:id="65" w:name="_Toc85740965"/>
      <w:r>
        <w:t xml:space="preserve">If </w:t>
      </w:r>
      <w:r w:rsidR="00F56DCC">
        <w:t>t</w:t>
      </w:r>
      <w:r>
        <w:t>he BSR parameters for SDT</w:t>
      </w:r>
      <w:r w:rsidRPr="007C1918">
        <w:t xml:space="preserve"> </w:t>
      </w:r>
      <w:r>
        <w:t>are not configured</w:t>
      </w:r>
      <w:r w:rsidR="00AF53E9">
        <w:t xml:space="preserve"> </w:t>
      </w:r>
      <w:r>
        <w:t xml:space="preserve">in </w:t>
      </w:r>
      <w:r w:rsidR="00AF53E9">
        <w:t>either</w:t>
      </w:r>
      <w:r>
        <w:t xml:space="preserve"> </w:t>
      </w:r>
      <w:proofErr w:type="spellStart"/>
      <w:r>
        <w:t>RRCRelease</w:t>
      </w:r>
      <w:proofErr w:type="spellEnd"/>
      <w:r>
        <w:t xml:space="preserve"> or SI</w:t>
      </w:r>
      <w:r w:rsidR="00AF53E9">
        <w:t>, the parameter values from the default MAC C</w:t>
      </w:r>
      <w:r w:rsidR="00025F4C">
        <w:t>ell Group configuration are used</w:t>
      </w:r>
      <w:bookmarkEnd w:id="65"/>
      <w:r>
        <w:t xml:space="preserve"> </w:t>
      </w:r>
      <w:r>
        <w:rPr>
          <w:i/>
          <w:lang w:eastAsia="en-GB"/>
        </w:rPr>
        <w:t xml:space="preserve"> </w:t>
      </w:r>
    </w:p>
    <w:p w14:paraId="64E89006" w14:textId="1D86A7AD" w:rsidR="00FD35BA" w:rsidRDefault="00FD35BA" w:rsidP="00FD35BA">
      <w:pPr>
        <w:pStyle w:val="BodyText"/>
      </w:pPr>
      <w:r>
        <w:t xml:space="preserve">Since SDT is a specific use case with small data packets and </w:t>
      </w:r>
      <w:proofErr w:type="gramStart"/>
      <w:r>
        <w:t>e.g.</w:t>
      </w:r>
      <w:proofErr w:type="gramEnd"/>
      <w:r>
        <w:t xml:space="preserve"> only one or a few DRBs configured, optimizations to reduce overhead could be considered. </w:t>
      </w:r>
      <w:r w:rsidRPr="00094A39">
        <w:t xml:space="preserve">Several improvements are possible. For example, if the amount of data left in the buffer could be transmitted with a new grant of the same size (or less than a threshold), no BSR would be needed. </w:t>
      </w:r>
      <w:r>
        <w:t>In other cases, t</w:t>
      </w:r>
      <w:r w:rsidRPr="00094A39">
        <w:t xml:space="preserve">he BSR could be limited to be a short BSR only reporting data from the LCG configured for SDT. In this case </w:t>
      </w:r>
      <w:r w:rsidR="00706553">
        <w:t>additional short</w:t>
      </w:r>
      <w:r w:rsidRPr="00094A39">
        <w:t xml:space="preserve"> formats could be introduced by </w:t>
      </w:r>
      <w:proofErr w:type="gramStart"/>
      <w:r w:rsidR="00706553">
        <w:t>e.g.</w:t>
      </w:r>
      <w:proofErr w:type="gramEnd"/>
      <w:r w:rsidR="00706553">
        <w:t xml:space="preserve"> </w:t>
      </w:r>
      <w:r w:rsidRPr="00094A39">
        <w:t xml:space="preserve">removing the MAC </w:t>
      </w:r>
      <w:proofErr w:type="spellStart"/>
      <w:r w:rsidRPr="00094A39">
        <w:t>subheader</w:t>
      </w:r>
      <w:proofErr w:type="spellEnd"/>
      <w:r w:rsidRPr="00094A39">
        <w:t xml:space="preserve"> for the short BSR and using the R-bit in </w:t>
      </w:r>
      <w:r w:rsidR="00706553">
        <w:t>i.e</w:t>
      </w:r>
      <w:r w:rsidRPr="00094A39">
        <w:t xml:space="preserve">. the R/F/LCID MAC </w:t>
      </w:r>
      <w:proofErr w:type="spellStart"/>
      <w:r w:rsidRPr="00094A39">
        <w:t>subheader</w:t>
      </w:r>
      <w:proofErr w:type="spellEnd"/>
      <w:r w:rsidRPr="00094A39">
        <w:t xml:space="preserve"> of the MAC SDU to signal inclusion of a short BSR.</w:t>
      </w:r>
      <w:r w:rsidRPr="00A34116" w:rsidDel="003A70B3">
        <w:t xml:space="preserve"> </w:t>
      </w:r>
    </w:p>
    <w:p w14:paraId="12E227A0" w14:textId="6B46804F" w:rsidR="009E7174" w:rsidRDefault="006B6D5B" w:rsidP="009E7174">
      <w:pPr>
        <w:pStyle w:val="Proposal"/>
      </w:pPr>
      <w:bookmarkStart w:id="66" w:name="_Toc85740966"/>
      <w:r>
        <w:t xml:space="preserve">RAN2 should discuss if </w:t>
      </w:r>
      <w:r w:rsidR="005B0E9F">
        <w:t>a short BSR format should be supported</w:t>
      </w:r>
      <w:r w:rsidR="00ED4172">
        <w:t>.</w:t>
      </w:r>
      <w:bookmarkEnd w:id="66"/>
    </w:p>
    <w:p w14:paraId="6D62F67C" w14:textId="77777777" w:rsidR="009E7174" w:rsidRDefault="009E7174" w:rsidP="00BF473B">
      <w:pPr>
        <w:pStyle w:val="BodyText"/>
      </w:pPr>
    </w:p>
    <w:p w14:paraId="11937058" w14:textId="257620D8" w:rsidR="00AE1DAD" w:rsidRDefault="00AE1DAD" w:rsidP="00AE1DAD">
      <w:pPr>
        <w:pStyle w:val="Heading2"/>
      </w:pPr>
      <w:r>
        <w:t>2.3</w:t>
      </w:r>
      <w:r>
        <w:tab/>
      </w:r>
      <w:r w:rsidR="004A208F">
        <w:t>PHR triggering</w:t>
      </w:r>
    </w:p>
    <w:p w14:paraId="15A5246A" w14:textId="11D54659" w:rsidR="00EE1008" w:rsidRDefault="004A208F" w:rsidP="00AE1DAD">
      <w:pPr>
        <w:pStyle w:val="BodyText"/>
      </w:pPr>
      <w:r w:rsidRPr="00673624">
        <w:rPr>
          <w:rFonts w:eastAsia="MS Mincho"/>
          <w:szCs w:val="24"/>
          <w:lang w:eastAsia="en-GB"/>
        </w:rPr>
        <w:t>In</w:t>
      </w:r>
      <w:r>
        <w:rPr>
          <w:rFonts w:eastAsia="MS Mincho"/>
          <w:szCs w:val="24"/>
          <w:lang w:eastAsia="en-GB"/>
        </w:rPr>
        <w:t xml:space="preserve"> RAN2#</w:t>
      </w:r>
      <w:r w:rsidR="00505ABC">
        <w:rPr>
          <w:rFonts w:eastAsia="MS Mincho"/>
          <w:szCs w:val="24"/>
          <w:lang w:eastAsia="en-GB"/>
        </w:rPr>
        <w:t>115</w:t>
      </w:r>
      <w:r>
        <w:rPr>
          <w:rFonts w:eastAsia="MS Mincho"/>
          <w:szCs w:val="24"/>
          <w:lang w:eastAsia="en-GB"/>
        </w:rPr>
        <w:t xml:space="preserve">-e it was agreed that PHR is supported, </w:t>
      </w:r>
      <w:r w:rsidR="00B85138">
        <w:rPr>
          <w:rFonts w:eastAsia="MS Mincho"/>
          <w:szCs w:val="24"/>
          <w:lang w:eastAsia="en-GB"/>
        </w:rPr>
        <w:t xml:space="preserve">and that the PHR </w:t>
      </w:r>
      <w:r w:rsidR="000C0506">
        <w:rPr>
          <w:rFonts w:eastAsia="MS Mincho"/>
          <w:szCs w:val="24"/>
          <w:lang w:eastAsia="en-GB"/>
        </w:rPr>
        <w:t xml:space="preserve">LCP </w:t>
      </w:r>
      <w:r w:rsidR="00B85138">
        <w:rPr>
          <w:rFonts w:eastAsia="MS Mincho"/>
          <w:szCs w:val="24"/>
          <w:lang w:eastAsia="en-GB"/>
        </w:rPr>
        <w:t>priority</w:t>
      </w:r>
      <w:r w:rsidR="000C0506">
        <w:rPr>
          <w:rFonts w:eastAsia="MS Mincho"/>
          <w:szCs w:val="24"/>
          <w:lang w:eastAsia="en-GB"/>
        </w:rPr>
        <w:t xml:space="preserve"> is the same as in connected mode </w:t>
      </w:r>
      <w:r>
        <w:rPr>
          <w:rFonts w:eastAsia="MS Mincho"/>
          <w:szCs w:val="24"/>
          <w:lang w:eastAsia="en-GB"/>
        </w:rPr>
        <w:t>but th</w:t>
      </w:r>
      <w:r w:rsidR="0075696F">
        <w:rPr>
          <w:rFonts w:eastAsia="MS Mincho"/>
          <w:szCs w:val="24"/>
          <w:lang w:eastAsia="en-GB"/>
        </w:rPr>
        <w:t xml:space="preserve">at the PHR is cancelled if all </w:t>
      </w:r>
      <w:r w:rsidR="00B84644">
        <w:rPr>
          <w:rFonts w:eastAsia="MS Mincho"/>
          <w:szCs w:val="24"/>
          <w:lang w:eastAsia="en-GB"/>
        </w:rPr>
        <w:t xml:space="preserve">SDT </w:t>
      </w:r>
      <w:r w:rsidR="0075696F">
        <w:rPr>
          <w:rFonts w:eastAsia="MS Mincho"/>
          <w:szCs w:val="24"/>
          <w:lang w:eastAsia="en-GB"/>
        </w:rPr>
        <w:t xml:space="preserve">data fits in the </w:t>
      </w:r>
      <w:r w:rsidR="00B84644">
        <w:rPr>
          <w:rFonts w:eastAsia="MS Mincho"/>
          <w:szCs w:val="24"/>
          <w:lang w:eastAsia="en-GB"/>
        </w:rPr>
        <w:t>grant (but not the PHR MAC CE)</w:t>
      </w:r>
      <w:r w:rsidR="0057678E">
        <w:rPr>
          <w:rFonts w:eastAsia="MS Mincho"/>
          <w:szCs w:val="24"/>
          <w:lang w:eastAsia="en-GB"/>
        </w:rPr>
        <w:t>. We believe these agreements are fine but that it would also be beneficial if a DVT could be configured for PHR</w:t>
      </w:r>
      <w:r>
        <w:rPr>
          <w:rFonts w:eastAsia="MS Mincho"/>
          <w:szCs w:val="24"/>
          <w:lang w:eastAsia="en-GB"/>
        </w:rPr>
        <w:t xml:space="preserve">. In SDT, the </w:t>
      </w:r>
      <w:r w:rsidR="0075725A">
        <w:rPr>
          <w:rFonts w:eastAsia="MS Mincho"/>
          <w:szCs w:val="24"/>
          <w:lang w:eastAsia="en-GB"/>
        </w:rPr>
        <w:t>main benefit</w:t>
      </w:r>
      <w:r>
        <w:rPr>
          <w:rFonts w:eastAsia="MS Mincho"/>
          <w:szCs w:val="24"/>
          <w:lang w:eastAsia="en-GB"/>
        </w:rPr>
        <w:t xml:space="preserve"> of</w:t>
      </w:r>
      <w:r w:rsidR="00A16F02">
        <w:rPr>
          <w:rFonts w:eastAsia="MS Mincho"/>
          <w:szCs w:val="24"/>
          <w:lang w:eastAsia="en-GB"/>
        </w:rPr>
        <w:t xml:space="preserve"> the</w:t>
      </w:r>
      <w:r>
        <w:rPr>
          <w:rFonts w:eastAsia="MS Mincho"/>
          <w:szCs w:val="24"/>
          <w:lang w:eastAsia="en-GB"/>
        </w:rPr>
        <w:t xml:space="preserve"> PHR is </w:t>
      </w:r>
      <w:r w:rsidR="00A16F02">
        <w:rPr>
          <w:rFonts w:eastAsia="MS Mincho"/>
          <w:szCs w:val="24"/>
          <w:lang w:eastAsia="en-GB"/>
        </w:rPr>
        <w:t>when the UE is sent to connected mode.</w:t>
      </w:r>
      <w:r>
        <w:rPr>
          <w:rFonts w:eastAsia="MS Mincho"/>
          <w:szCs w:val="24"/>
          <w:lang w:eastAsia="en-GB"/>
        </w:rPr>
        <w:t xml:space="preserve"> Since execution of the SDT procedure may or may not lead to subsequent transmissions a PHR is not always needed. </w:t>
      </w:r>
      <w:r w:rsidR="006C12E3">
        <w:rPr>
          <w:rFonts w:eastAsia="MS Mincho"/>
          <w:szCs w:val="24"/>
          <w:lang w:eastAsia="en-GB"/>
        </w:rPr>
        <w:t xml:space="preserve">For </w:t>
      </w:r>
      <w:proofErr w:type="gramStart"/>
      <w:r w:rsidR="006C12E3">
        <w:rPr>
          <w:rFonts w:eastAsia="MS Mincho"/>
          <w:szCs w:val="24"/>
          <w:lang w:eastAsia="en-GB"/>
        </w:rPr>
        <w:t>example</w:t>
      </w:r>
      <w:proofErr w:type="gramEnd"/>
      <w:r w:rsidR="006C12E3">
        <w:rPr>
          <w:rFonts w:eastAsia="MS Mincho"/>
          <w:szCs w:val="24"/>
          <w:lang w:eastAsia="en-GB"/>
        </w:rPr>
        <w:t xml:space="preserve"> when </w:t>
      </w:r>
      <w:r>
        <w:rPr>
          <w:rFonts w:eastAsia="MS Mincho"/>
          <w:szCs w:val="24"/>
          <w:lang w:eastAsia="en-GB"/>
        </w:rPr>
        <w:t>e.g. all remaining data will fit in a small subsequent transmission. We therefore believe that the best option is to configure a volume threshold so that the PHR is included if the data volume is above this threshold. We propose</w:t>
      </w:r>
    </w:p>
    <w:p w14:paraId="21593391" w14:textId="3EC1A0BA" w:rsidR="00EE1008" w:rsidRDefault="004A208F" w:rsidP="00DA35C6">
      <w:pPr>
        <w:pStyle w:val="Proposal"/>
      </w:pPr>
      <w:bookmarkStart w:id="67" w:name="_Toc85740967"/>
      <w:r>
        <w:t xml:space="preserve">A Data volume threshold is defined </w:t>
      </w:r>
      <w:r w:rsidR="00A07874">
        <w:t>to trigger</w:t>
      </w:r>
      <w:r>
        <w:t xml:space="preserve"> PHR</w:t>
      </w:r>
      <w:bookmarkEnd w:id="67"/>
    </w:p>
    <w:p w14:paraId="253FD73D" w14:textId="6A4DEE36" w:rsidR="00590745" w:rsidRPr="00BF473B" w:rsidRDefault="00590745" w:rsidP="00BF473B">
      <w:pPr>
        <w:pStyle w:val="BodyText"/>
        <w:rPr>
          <w:rFonts w:eastAsia="MS Mincho"/>
          <w:szCs w:val="24"/>
          <w:lang w:eastAsia="en-GB"/>
        </w:rPr>
      </w:pPr>
      <w:r w:rsidRPr="00BF473B">
        <w:rPr>
          <w:rFonts w:eastAsia="MS Mincho"/>
          <w:szCs w:val="24"/>
          <w:lang w:eastAsia="en-GB"/>
        </w:rPr>
        <w:t xml:space="preserve">It has been agreed that legacy PHR triggers should be used. However, since legacy PHR is for connected mode, we believe that it would be </w:t>
      </w:r>
      <w:proofErr w:type="gramStart"/>
      <w:r w:rsidRPr="00BF473B">
        <w:rPr>
          <w:rFonts w:eastAsia="MS Mincho"/>
          <w:szCs w:val="24"/>
          <w:lang w:eastAsia="en-GB"/>
        </w:rPr>
        <w:t>more clear</w:t>
      </w:r>
      <w:proofErr w:type="gramEnd"/>
      <w:r w:rsidRPr="00BF473B">
        <w:rPr>
          <w:rFonts w:eastAsia="MS Mincho"/>
          <w:szCs w:val="24"/>
          <w:lang w:eastAsia="en-GB"/>
        </w:rPr>
        <w:t xml:space="preserve"> if it was always triggered at initiation of the SDT procedure.</w:t>
      </w:r>
    </w:p>
    <w:p w14:paraId="5BFAFBFD" w14:textId="173C333D" w:rsidR="006D330C" w:rsidRDefault="006D330C" w:rsidP="006D330C">
      <w:pPr>
        <w:pStyle w:val="Proposal"/>
      </w:pPr>
      <w:bookmarkStart w:id="68" w:name="_Toc85185055"/>
      <w:bookmarkStart w:id="69" w:name="_Toc85740968"/>
      <w:bookmarkEnd w:id="68"/>
      <w:r>
        <w:t>PHR is triggered by initiation of the PHR procedure</w:t>
      </w:r>
      <w:bookmarkEnd w:id="69"/>
    </w:p>
    <w:p w14:paraId="15B75889" w14:textId="77777777" w:rsidR="002F57B8" w:rsidRDefault="002F57B8" w:rsidP="0089744C">
      <w:pPr>
        <w:pStyle w:val="BodyText"/>
      </w:pPr>
    </w:p>
    <w:p w14:paraId="11379DE2" w14:textId="0DABF6CE" w:rsidR="002F57B8" w:rsidRDefault="002F57B8" w:rsidP="002F57B8">
      <w:pPr>
        <w:pStyle w:val="Heading2"/>
      </w:pPr>
      <w:r>
        <w:t>2.</w:t>
      </w:r>
      <w:r w:rsidR="001005BC">
        <w:t>4</w:t>
      </w:r>
      <w:r>
        <w:tab/>
        <w:t xml:space="preserve">TAT </w:t>
      </w:r>
      <w:r w:rsidR="003C65DB">
        <w:t>in SDT</w:t>
      </w:r>
    </w:p>
    <w:p w14:paraId="787C5B9C" w14:textId="27B982B9" w:rsidR="007A6DD1" w:rsidRDefault="007A6DD1" w:rsidP="008323D0">
      <w:pPr>
        <w:pStyle w:val="BodyText"/>
      </w:pPr>
      <w:r>
        <w:t xml:space="preserve">In </w:t>
      </w:r>
      <w:r w:rsidR="0031284E">
        <w:fldChar w:fldCharType="begin"/>
      </w:r>
      <w:r w:rsidR="0031284E">
        <w:instrText xml:space="preserve"> REF _Ref85010422 \r \h </w:instrText>
      </w:r>
      <w:r w:rsidR="0031284E">
        <w:fldChar w:fldCharType="separate"/>
      </w:r>
      <w:r w:rsidR="0031284E">
        <w:t>[5]</w:t>
      </w:r>
      <w:r w:rsidR="0031284E">
        <w:fldChar w:fldCharType="end"/>
      </w:r>
      <w:r w:rsidR="0031284E">
        <w:t xml:space="preserve"> </w:t>
      </w:r>
      <w:r>
        <w:t>and in RAN2#115-e</w:t>
      </w:r>
      <w:r w:rsidRPr="00BF473B">
        <w:t xml:space="preserve">, there </w:t>
      </w:r>
      <w:r>
        <w:t xml:space="preserve">was </w:t>
      </w:r>
      <w:r w:rsidRPr="00BF473B">
        <w:t>a</w:t>
      </w:r>
      <w:r>
        <w:t xml:space="preserve"> discussion regarding if it is the same TAT in RA-SDT and CG-SDT and regarding the operation of the timers. In legacy RA, the TA MAC CE in the RAR is used</w:t>
      </w:r>
      <w:r w:rsidRPr="00BF473B">
        <w:t xml:space="preserve"> </w:t>
      </w:r>
      <w:r>
        <w:t>and the TAT is started upon reception of the RAR. We se</w:t>
      </w:r>
      <w:r w:rsidR="00226EEB">
        <w:t>e</w:t>
      </w:r>
      <w:r>
        <w:t xml:space="preserve"> no reason why this should not be reused for RA-SDT</w:t>
      </w:r>
      <w:r w:rsidR="00226EEB">
        <w:t>.</w:t>
      </w:r>
    </w:p>
    <w:p w14:paraId="12BCC1A4" w14:textId="31B1D802" w:rsidR="00226EEB" w:rsidRDefault="007A6DD1" w:rsidP="00226EEB">
      <w:pPr>
        <w:pStyle w:val="BodyText"/>
      </w:pPr>
      <w:r>
        <w:t xml:space="preserve">In case of CG-SDT, it has been agreed that the SDT-TAT is started upon reception of the </w:t>
      </w:r>
      <w:proofErr w:type="spellStart"/>
      <w:r>
        <w:t>RRCRelease</w:t>
      </w:r>
      <w:proofErr w:type="spellEnd"/>
      <w:r>
        <w:t xml:space="preserve"> message. Since the CG-SDT procedure does not need to be initiated immediately</w:t>
      </w:r>
      <w:r w:rsidR="00226EEB">
        <w:t xml:space="preserve"> </w:t>
      </w:r>
      <w:r w:rsidR="000F7E57">
        <w:t xml:space="preserve">after configuration </w:t>
      </w:r>
      <w:r w:rsidR="00226EEB">
        <w:t xml:space="preserve">and one of the important use-cases for CG-SDT is stationary devices it can be envisioned that the TAT could have a much </w:t>
      </w:r>
      <w:r w:rsidR="00234CF4">
        <w:t>longer</w:t>
      </w:r>
      <w:r w:rsidR="00226EEB">
        <w:t xml:space="preserve"> setting than the legacy TAT for RA. We therefore believe that there should be different TAT</w:t>
      </w:r>
      <w:r w:rsidR="00D5768E">
        <w:t>s</w:t>
      </w:r>
      <w:r w:rsidR="00226EEB">
        <w:t xml:space="preserve"> for CG</w:t>
      </w:r>
      <w:r w:rsidR="00D5768E">
        <w:t>-SDT</w:t>
      </w:r>
      <w:r w:rsidR="00226EEB">
        <w:t xml:space="preserve"> and RA</w:t>
      </w:r>
      <w:r w:rsidR="00D5768E">
        <w:t>-SDT,</w:t>
      </w:r>
      <w:r w:rsidR="00226EEB">
        <w:t xml:space="preserve"> respectively. We propose</w:t>
      </w:r>
    </w:p>
    <w:p w14:paraId="6E5D60AE" w14:textId="43A5EBDF" w:rsidR="00226EEB" w:rsidRDefault="00226EEB" w:rsidP="00226EEB">
      <w:pPr>
        <w:pStyle w:val="Proposal"/>
      </w:pPr>
      <w:bookmarkStart w:id="70" w:name="_Toc85740969"/>
      <w:r>
        <w:t>The legacy TAT is reused for RA-SDT</w:t>
      </w:r>
      <w:bookmarkEnd w:id="70"/>
    </w:p>
    <w:p w14:paraId="7F4DE69E" w14:textId="029D52ED" w:rsidR="00226EEB" w:rsidRDefault="00226EEB" w:rsidP="00226EEB">
      <w:pPr>
        <w:pStyle w:val="Proposal"/>
      </w:pPr>
      <w:bookmarkStart w:id="71" w:name="_Toc85740970"/>
      <w:r>
        <w:t>A separate CG-SDT TAT is used for CG-SDT</w:t>
      </w:r>
      <w:bookmarkEnd w:id="71"/>
    </w:p>
    <w:p w14:paraId="0C66808D" w14:textId="5B1B1DF4" w:rsidR="001005BC" w:rsidRDefault="00226EEB" w:rsidP="002F57B8">
      <w:pPr>
        <w:pStyle w:val="BodyText"/>
      </w:pPr>
      <w:r>
        <w:lastRenderedPageBreak/>
        <w:t xml:space="preserve">Both timers can be restarted by the </w:t>
      </w:r>
      <w:proofErr w:type="spellStart"/>
      <w:r>
        <w:t>gNB</w:t>
      </w:r>
      <w:proofErr w:type="spellEnd"/>
      <w:r>
        <w:t xml:space="preserve"> sending a TA MAC CE to the UE.</w:t>
      </w:r>
      <w:r w:rsidR="0089744C">
        <w:t xml:space="preserve"> </w:t>
      </w:r>
    </w:p>
    <w:p w14:paraId="745E7A85" w14:textId="77777777" w:rsidR="001005BC" w:rsidRDefault="001005BC" w:rsidP="001005BC">
      <w:pPr>
        <w:pStyle w:val="BodyText"/>
      </w:pPr>
    </w:p>
    <w:p w14:paraId="678F3354" w14:textId="0D3E179A" w:rsidR="001005BC" w:rsidRDefault="001005BC" w:rsidP="001005BC">
      <w:pPr>
        <w:pStyle w:val="Heading2"/>
      </w:pPr>
      <w:r>
        <w:t>2.5</w:t>
      </w:r>
      <w:r>
        <w:tab/>
        <w:t>Unlicensed operation</w:t>
      </w:r>
    </w:p>
    <w:p w14:paraId="2FD8E596" w14:textId="72E70B2B" w:rsidR="005B1A3C" w:rsidRDefault="00257748" w:rsidP="005B1A3C">
      <w:pPr>
        <w:pStyle w:val="BodyText"/>
      </w:pPr>
      <w:r>
        <w:t>Enabling operation in unlicensed bands naturally increases the usefulness and applicability of SDT</w:t>
      </w:r>
      <w:r w:rsidR="00D23AB1">
        <w:t xml:space="preserve"> in the long term</w:t>
      </w:r>
      <w:r>
        <w:t>. However, specifying</w:t>
      </w:r>
      <w:r w:rsidR="00D23AB1">
        <w:t xml:space="preserve"> </w:t>
      </w:r>
      <w:r w:rsidR="001D58A5">
        <w:t xml:space="preserve">SDT for NR-U </w:t>
      </w:r>
      <w:r w:rsidR="006323F3">
        <w:t>does</w:t>
      </w:r>
      <w:r w:rsidR="00FD6A36">
        <w:t xml:space="preserve"> not come for free. </w:t>
      </w:r>
      <w:r w:rsidR="00CB102F">
        <w:t>I</w:t>
      </w:r>
      <w:r w:rsidR="006323F3">
        <w:t xml:space="preserve">t needs to be considered carefully which </w:t>
      </w:r>
      <w:r w:rsidR="00F66E9F">
        <w:t xml:space="preserve">features that can be </w:t>
      </w:r>
      <w:r w:rsidR="00160C3E">
        <w:t>reused for SDT</w:t>
      </w:r>
      <w:r w:rsidR="00CB102F">
        <w:t xml:space="preserve">. Many features fall under RAN1 </w:t>
      </w:r>
      <w:proofErr w:type="gramStart"/>
      <w:r w:rsidR="00A13CBC">
        <w:t>domain</w:t>
      </w:r>
      <w:proofErr w:type="gramEnd"/>
      <w:r w:rsidR="00A13CBC">
        <w:t xml:space="preserve"> and it will also most likely have RAN4 impacts </w:t>
      </w:r>
      <w:r w:rsidR="001230F6">
        <w:t>which will need further investigations</w:t>
      </w:r>
      <w:r w:rsidR="007C2187">
        <w:t>. Giv</w:t>
      </w:r>
      <w:r w:rsidR="00290B2A">
        <w:t>en the limited time left for Rel. 17</w:t>
      </w:r>
      <w:r w:rsidR="005B1A3C">
        <w:t xml:space="preserve"> and the work still needed</w:t>
      </w:r>
      <w:r w:rsidR="007C2187">
        <w:t xml:space="preserve"> </w:t>
      </w:r>
      <w:r w:rsidR="005B1A3C">
        <w:t xml:space="preserve">to complete the licensed operation, we propose that </w:t>
      </w:r>
      <w:r w:rsidR="005F2D38">
        <w:t>SDT</w:t>
      </w:r>
      <w:r w:rsidR="005B1A3C">
        <w:t xml:space="preserve"> support for </w:t>
      </w:r>
      <w:r w:rsidR="005F2D38">
        <w:t>NR-U</w:t>
      </w:r>
      <w:r w:rsidR="005B1A3C">
        <w:t xml:space="preserve"> is left for further releases.</w:t>
      </w:r>
    </w:p>
    <w:p w14:paraId="2EEC70CD" w14:textId="237E68C3" w:rsidR="005B1A3C" w:rsidRDefault="0073052C" w:rsidP="005B1A3C">
      <w:pPr>
        <w:pStyle w:val="Proposal"/>
      </w:pPr>
      <w:bookmarkStart w:id="72" w:name="_Toc85740971"/>
      <w:r>
        <w:t xml:space="preserve">SDT </w:t>
      </w:r>
      <w:r w:rsidR="00DA30D5">
        <w:t>optimizations</w:t>
      </w:r>
      <w:r>
        <w:t xml:space="preserve"> for NR-U is left for </w:t>
      </w:r>
      <w:r w:rsidR="00DA30D5">
        <w:t>any later</w:t>
      </w:r>
      <w:r>
        <w:t xml:space="preserve"> release.</w:t>
      </w:r>
      <w:bookmarkEnd w:id="72"/>
    </w:p>
    <w:p w14:paraId="44E43221" w14:textId="77777777" w:rsidR="001005BC" w:rsidRPr="00630873" w:rsidRDefault="001005BC" w:rsidP="002F57B8">
      <w:pPr>
        <w:pStyle w:val="BodyText"/>
      </w:pPr>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bookmarkStart w:id="73" w:name="_Hlk76116627"/>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60DA2C33" w14:textId="33D05B9B" w:rsidR="00BA389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85010550" w:history="1">
        <w:r w:rsidR="00BA3890" w:rsidRPr="00D50291">
          <w:rPr>
            <w:rStyle w:val="Hyperlink"/>
            <w:noProof/>
          </w:rPr>
          <w:t>Observation 1</w:t>
        </w:r>
        <w:r w:rsidR="00BA3890">
          <w:rPr>
            <w:rFonts w:asciiTheme="minorHAnsi" w:eastAsiaTheme="minorEastAsia" w:hAnsiTheme="minorHAnsi" w:cstheme="minorBidi"/>
            <w:b w:val="0"/>
            <w:noProof/>
            <w:sz w:val="22"/>
            <w:szCs w:val="22"/>
            <w:lang w:val="sv-SE" w:eastAsia="sv-SE"/>
          </w:rPr>
          <w:tab/>
        </w:r>
        <w:r w:rsidR="00BA3890" w:rsidRPr="00D50291">
          <w:rPr>
            <w:rStyle w:val="Hyperlink"/>
            <w:noProof/>
          </w:rPr>
          <w:t>Legacy BSR triggers are sufficient to handle arrival of new SDT data and transmission (multiplexing of BSR into the MAC PDU, when triggered).</w:t>
        </w:r>
      </w:hyperlink>
    </w:p>
    <w:p w14:paraId="3AE6356E" w14:textId="09E2F488" w:rsidR="006E1C82" w:rsidRPr="003A2B6B" w:rsidRDefault="006F6582" w:rsidP="008E065E">
      <w:pPr>
        <w:pStyle w:val="BodyText"/>
        <w:rPr>
          <w:b/>
          <w:bCs/>
        </w:rPr>
      </w:pPr>
      <w:r w:rsidRPr="003A2B6B">
        <w:rPr>
          <w:b/>
          <w:bCs/>
        </w:rPr>
        <w:fldChar w:fldCharType="end"/>
      </w:r>
    </w:p>
    <w:p w14:paraId="2C9C9770" w14:textId="77777777"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5B8A6FE3" w14:textId="7C7D56BC" w:rsidR="00EF232A"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85740963" w:history="1">
        <w:r w:rsidR="00EF232A" w:rsidRPr="00F52CE9">
          <w:rPr>
            <w:rStyle w:val="Hyperlink"/>
            <w:noProof/>
          </w:rPr>
          <w:t>Proposal 1</w:t>
        </w:r>
        <w:r w:rsidR="00EF232A">
          <w:rPr>
            <w:rFonts w:asciiTheme="minorHAnsi" w:eastAsiaTheme="minorEastAsia" w:hAnsiTheme="minorHAnsi" w:cstheme="minorBidi"/>
            <w:b w:val="0"/>
            <w:noProof/>
            <w:sz w:val="24"/>
            <w:szCs w:val="24"/>
            <w:lang w:val="en-SE" w:eastAsia="ja-JP"/>
          </w:rPr>
          <w:tab/>
        </w:r>
        <w:r w:rsidR="00EF232A" w:rsidRPr="00F52CE9">
          <w:rPr>
            <w:rStyle w:val="Hyperlink"/>
            <w:noProof/>
          </w:rPr>
          <w:t>Once the SUL or NUL has been selected in the SDT procedure, it is not re-evaluated in the Random access procedure</w:t>
        </w:r>
      </w:hyperlink>
    </w:p>
    <w:p w14:paraId="68F3302E" w14:textId="04055EF6"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4" w:history="1">
        <w:r w:rsidRPr="00F52CE9">
          <w:rPr>
            <w:rStyle w:val="Hyperlink"/>
            <w:noProof/>
          </w:rPr>
          <w:t>Proposal 2</w:t>
        </w:r>
        <w:r>
          <w:rPr>
            <w:rFonts w:asciiTheme="minorHAnsi" w:eastAsiaTheme="minorEastAsia" w:hAnsiTheme="minorHAnsi" w:cstheme="minorBidi"/>
            <w:b w:val="0"/>
            <w:noProof/>
            <w:sz w:val="24"/>
            <w:szCs w:val="24"/>
            <w:lang w:val="en-SE" w:eastAsia="ja-JP"/>
          </w:rPr>
          <w:tab/>
        </w:r>
        <w:r w:rsidRPr="00F52CE9">
          <w:rPr>
            <w:rStyle w:val="Hyperlink"/>
            <w:noProof/>
          </w:rPr>
          <w:t xml:space="preserve">The BSR parameters for SDT </w:t>
        </w:r>
        <w:r w:rsidRPr="00F52CE9">
          <w:rPr>
            <w:rStyle w:val="Hyperlink"/>
            <w:i/>
            <w:noProof/>
            <w:lang w:eastAsia="en-GB"/>
          </w:rPr>
          <w:t xml:space="preserve">periodicBSR-Timer </w:t>
        </w:r>
        <w:r w:rsidRPr="00F52CE9">
          <w:rPr>
            <w:rStyle w:val="Hyperlink"/>
            <w:noProof/>
          </w:rPr>
          <w:t>and</w:t>
        </w:r>
        <w:r w:rsidRPr="00F52CE9">
          <w:rPr>
            <w:rStyle w:val="Hyperlink"/>
            <w:i/>
            <w:noProof/>
            <w:lang w:eastAsia="en-GB"/>
          </w:rPr>
          <w:t xml:space="preserve"> retxBSR-Timer </w:t>
        </w:r>
        <w:r w:rsidRPr="00F52CE9">
          <w:rPr>
            <w:rStyle w:val="Hyperlink"/>
            <w:noProof/>
          </w:rPr>
          <w:t>should be configurable via RRCRelease or SI.</w:t>
        </w:r>
      </w:hyperlink>
    </w:p>
    <w:p w14:paraId="548C30F2" w14:textId="18480CDA"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5" w:history="1">
        <w:r w:rsidRPr="00F52CE9">
          <w:rPr>
            <w:rStyle w:val="Hyperlink"/>
            <w:noProof/>
          </w:rPr>
          <w:t>Proposal 3</w:t>
        </w:r>
        <w:r>
          <w:rPr>
            <w:rFonts w:asciiTheme="minorHAnsi" w:eastAsiaTheme="minorEastAsia" w:hAnsiTheme="minorHAnsi" w:cstheme="minorBidi"/>
            <w:b w:val="0"/>
            <w:noProof/>
            <w:sz w:val="24"/>
            <w:szCs w:val="24"/>
            <w:lang w:val="en-SE" w:eastAsia="ja-JP"/>
          </w:rPr>
          <w:tab/>
        </w:r>
        <w:r w:rsidRPr="00F52CE9">
          <w:rPr>
            <w:rStyle w:val="Hyperlink"/>
            <w:noProof/>
          </w:rPr>
          <w:t>If the BSR parameters for SDT are not configured in either RRCRelease or SI, the parameter values from the default MAC Cell Group configuration are used</w:t>
        </w:r>
      </w:hyperlink>
    </w:p>
    <w:p w14:paraId="213EA4C2" w14:textId="6B84AFD8"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6" w:history="1">
        <w:r w:rsidRPr="00F52CE9">
          <w:rPr>
            <w:rStyle w:val="Hyperlink"/>
            <w:noProof/>
          </w:rPr>
          <w:t>Proposal 4</w:t>
        </w:r>
        <w:r>
          <w:rPr>
            <w:rFonts w:asciiTheme="minorHAnsi" w:eastAsiaTheme="minorEastAsia" w:hAnsiTheme="minorHAnsi" w:cstheme="minorBidi"/>
            <w:b w:val="0"/>
            <w:noProof/>
            <w:sz w:val="24"/>
            <w:szCs w:val="24"/>
            <w:lang w:val="en-SE" w:eastAsia="ja-JP"/>
          </w:rPr>
          <w:tab/>
        </w:r>
        <w:r w:rsidRPr="00F52CE9">
          <w:rPr>
            <w:rStyle w:val="Hyperlink"/>
            <w:noProof/>
          </w:rPr>
          <w:t>RAN2 should discuss if a short BSR format should be supported.</w:t>
        </w:r>
      </w:hyperlink>
    </w:p>
    <w:p w14:paraId="7B436F14" w14:textId="2652781D"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7" w:history="1">
        <w:r w:rsidRPr="00F52CE9">
          <w:rPr>
            <w:rStyle w:val="Hyperlink"/>
            <w:noProof/>
          </w:rPr>
          <w:t>Proposal 5</w:t>
        </w:r>
        <w:r>
          <w:rPr>
            <w:rFonts w:asciiTheme="minorHAnsi" w:eastAsiaTheme="minorEastAsia" w:hAnsiTheme="minorHAnsi" w:cstheme="minorBidi"/>
            <w:b w:val="0"/>
            <w:noProof/>
            <w:sz w:val="24"/>
            <w:szCs w:val="24"/>
            <w:lang w:val="en-SE" w:eastAsia="ja-JP"/>
          </w:rPr>
          <w:tab/>
        </w:r>
        <w:r w:rsidRPr="00F52CE9">
          <w:rPr>
            <w:rStyle w:val="Hyperlink"/>
            <w:noProof/>
          </w:rPr>
          <w:t>A Data volume threshold is defined to trigger PHR</w:t>
        </w:r>
      </w:hyperlink>
    </w:p>
    <w:p w14:paraId="650952D7" w14:textId="7E47003E"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8" w:history="1">
        <w:r w:rsidRPr="00F52CE9">
          <w:rPr>
            <w:rStyle w:val="Hyperlink"/>
            <w:noProof/>
          </w:rPr>
          <w:t>Proposal 6</w:t>
        </w:r>
        <w:r>
          <w:rPr>
            <w:rFonts w:asciiTheme="minorHAnsi" w:eastAsiaTheme="minorEastAsia" w:hAnsiTheme="minorHAnsi" w:cstheme="minorBidi"/>
            <w:b w:val="0"/>
            <w:noProof/>
            <w:sz w:val="24"/>
            <w:szCs w:val="24"/>
            <w:lang w:val="en-SE" w:eastAsia="ja-JP"/>
          </w:rPr>
          <w:tab/>
        </w:r>
        <w:r w:rsidRPr="00F52CE9">
          <w:rPr>
            <w:rStyle w:val="Hyperlink"/>
            <w:noProof/>
          </w:rPr>
          <w:t>PHR is triggered by initiation of the PHR procedure</w:t>
        </w:r>
      </w:hyperlink>
    </w:p>
    <w:p w14:paraId="31BBF69F" w14:textId="523EB06B"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69" w:history="1">
        <w:r w:rsidRPr="00F52CE9">
          <w:rPr>
            <w:rStyle w:val="Hyperlink"/>
            <w:noProof/>
          </w:rPr>
          <w:t>Proposal 7</w:t>
        </w:r>
        <w:r>
          <w:rPr>
            <w:rFonts w:asciiTheme="minorHAnsi" w:eastAsiaTheme="minorEastAsia" w:hAnsiTheme="minorHAnsi" w:cstheme="minorBidi"/>
            <w:b w:val="0"/>
            <w:noProof/>
            <w:sz w:val="24"/>
            <w:szCs w:val="24"/>
            <w:lang w:val="en-SE" w:eastAsia="ja-JP"/>
          </w:rPr>
          <w:tab/>
        </w:r>
        <w:r w:rsidRPr="00F52CE9">
          <w:rPr>
            <w:rStyle w:val="Hyperlink"/>
            <w:noProof/>
          </w:rPr>
          <w:t>The legacy TAT is reused for RA-SDT</w:t>
        </w:r>
      </w:hyperlink>
    </w:p>
    <w:p w14:paraId="12F0F68D" w14:textId="68AB09AD"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70" w:history="1">
        <w:r w:rsidRPr="00F52CE9">
          <w:rPr>
            <w:rStyle w:val="Hyperlink"/>
            <w:noProof/>
          </w:rPr>
          <w:t>Proposal 8</w:t>
        </w:r>
        <w:r>
          <w:rPr>
            <w:rFonts w:asciiTheme="minorHAnsi" w:eastAsiaTheme="minorEastAsia" w:hAnsiTheme="minorHAnsi" w:cstheme="minorBidi"/>
            <w:b w:val="0"/>
            <w:noProof/>
            <w:sz w:val="24"/>
            <w:szCs w:val="24"/>
            <w:lang w:val="en-SE" w:eastAsia="ja-JP"/>
          </w:rPr>
          <w:tab/>
        </w:r>
        <w:r w:rsidRPr="00F52CE9">
          <w:rPr>
            <w:rStyle w:val="Hyperlink"/>
            <w:noProof/>
          </w:rPr>
          <w:t>A separate CG-SDT TAT is used for CG-SDT</w:t>
        </w:r>
      </w:hyperlink>
    </w:p>
    <w:p w14:paraId="412F28F5" w14:textId="67AC6CC9" w:rsidR="00EF232A" w:rsidRDefault="00EF232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0971" w:history="1">
        <w:r w:rsidRPr="00F52CE9">
          <w:rPr>
            <w:rStyle w:val="Hyperlink"/>
            <w:noProof/>
          </w:rPr>
          <w:t>Proposal 9</w:t>
        </w:r>
        <w:r>
          <w:rPr>
            <w:rFonts w:asciiTheme="minorHAnsi" w:eastAsiaTheme="minorEastAsia" w:hAnsiTheme="minorHAnsi" w:cstheme="minorBidi"/>
            <w:b w:val="0"/>
            <w:noProof/>
            <w:sz w:val="24"/>
            <w:szCs w:val="24"/>
            <w:lang w:val="en-SE" w:eastAsia="ja-JP"/>
          </w:rPr>
          <w:tab/>
        </w:r>
        <w:r w:rsidRPr="00F52CE9">
          <w:rPr>
            <w:rStyle w:val="Hyperlink"/>
            <w:noProof/>
          </w:rPr>
          <w:t>SDT optimizations for NR-U is left for any later release.</w:t>
        </w:r>
      </w:hyperlink>
    </w:p>
    <w:p w14:paraId="114CACFF" w14:textId="49431F83" w:rsidR="00C01F33" w:rsidRPr="003A2B6B" w:rsidRDefault="006E1C82" w:rsidP="00CD1936">
      <w:pPr>
        <w:pStyle w:val="BodyText"/>
      </w:pPr>
      <w:r w:rsidRPr="003A2B6B">
        <w:rPr>
          <w:b/>
          <w:bCs/>
          <w:lang w:val="en-US"/>
        </w:rPr>
        <w:fldChar w:fldCharType="end"/>
      </w:r>
      <w:bookmarkEnd w:id="73"/>
      <w:r w:rsidRPr="003A2B6B">
        <w:rPr>
          <w:b/>
          <w:bCs/>
        </w:rPr>
        <w:t xml:space="preserve"> </w:t>
      </w:r>
    </w:p>
    <w:p w14:paraId="45955E2C" w14:textId="77777777" w:rsidR="00F507D1" w:rsidRPr="003A2B6B" w:rsidRDefault="00F507D1" w:rsidP="00CE0424">
      <w:pPr>
        <w:pStyle w:val="Heading1"/>
      </w:pPr>
      <w:bookmarkStart w:id="74" w:name="_In-sequence_SDU_delivery"/>
      <w:bookmarkEnd w:id="74"/>
      <w:r w:rsidRPr="003A2B6B">
        <w:t>References</w:t>
      </w:r>
    </w:p>
    <w:bookmarkStart w:id="75" w:name="_Ref61511911"/>
    <w:bookmarkStart w:id="76" w:name="_Ref174151459"/>
    <w:bookmarkStart w:id="77" w:name="_Ref189809556"/>
    <w:p w14:paraId="164ED112" w14:textId="1336BF97" w:rsidR="007636C1" w:rsidRPr="003A2B6B" w:rsidRDefault="007636C1" w:rsidP="007636C1">
      <w:pPr>
        <w:pStyle w:val="Reference"/>
      </w:pPr>
      <w:r w:rsidRPr="003A2B6B">
        <w:fldChar w:fldCharType="begin"/>
      </w:r>
      <w:r w:rsidRPr="003A2B6B">
        <w:instrText xml:space="preserve"> HYPERLINK "https://www.3gpp.org/ftp/TSG_RAN/TSG_RAN/TSGR_90e/Docs/RP-202501.zip" </w:instrText>
      </w:r>
      <w:r w:rsidRPr="003A2B6B">
        <w:fldChar w:fldCharType="separate"/>
      </w:r>
      <w:r w:rsidRPr="003A2B6B">
        <w:rPr>
          <w:rStyle w:val="Hyperlink"/>
        </w:rPr>
        <w:t>RP-202501</w:t>
      </w:r>
      <w:r w:rsidRPr="003A2B6B">
        <w:fldChar w:fldCharType="end"/>
      </w:r>
      <w:r w:rsidRPr="003A2B6B">
        <w:t>, Status Report NR-</w:t>
      </w:r>
      <w:proofErr w:type="spellStart"/>
      <w:r w:rsidRPr="003A2B6B">
        <w:t>SmallData</w:t>
      </w:r>
      <w:proofErr w:type="spellEnd"/>
      <w:r w:rsidRPr="003A2B6B">
        <w:t>, RAN2 ZTE, RP#90-e, December 2020</w:t>
      </w:r>
      <w:bookmarkEnd w:id="75"/>
    </w:p>
    <w:bookmarkStart w:id="78" w:name="_Ref67063039"/>
    <w:p w14:paraId="78B7E067" w14:textId="46B7A4D2" w:rsidR="00B624A6" w:rsidRDefault="00B624A6" w:rsidP="00B624A6">
      <w:pPr>
        <w:pStyle w:val="Reference"/>
      </w:pPr>
      <w:r w:rsidRPr="003A2B6B">
        <w:fldChar w:fldCharType="begin"/>
      </w:r>
      <w:r w:rsidRPr="003A2B6B">
        <w:instrText>HYPERLINK "https://www.3gpp.org/ftp/tsg_ran/TSG_RAN/TSGR_91e/Docs/RP-210330.zip"</w:instrText>
      </w:r>
      <w:r w:rsidRPr="003A2B6B">
        <w:fldChar w:fldCharType="separate"/>
      </w:r>
      <w:r w:rsidRPr="003A2B6B">
        <w:rPr>
          <w:rStyle w:val="Hyperlink"/>
        </w:rPr>
        <w:t>RP-210330</w:t>
      </w:r>
      <w:r w:rsidRPr="003A2B6B">
        <w:fldChar w:fldCharType="end"/>
      </w:r>
      <w:r w:rsidRPr="003A2B6B">
        <w:t>, Status Report NR-</w:t>
      </w:r>
      <w:proofErr w:type="spellStart"/>
      <w:r w:rsidRPr="003A2B6B">
        <w:t>SmallData</w:t>
      </w:r>
      <w:proofErr w:type="spellEnd"/>
      <w:r w:rsidRPr="003A2B6B">
        <w:t>, RAN2 ZTE, RP#91-e, March 2021</w:t>
      </w:r>
      <w:bookmarkEnd w:id="78"/>
    </w:p>
    <w:bookmarkStart w:id="79" w:name="_Ref75161746"/>
    <w:p w14:paraId="6DA49A59" w14:textId="030AAEC1" w:rsidR="0011651B" w:rsidRDefault="0011651B" w:rsidP="00B624A6">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End w:id="79"/>
    </w:p>
    <w:p w14:paraId="6BDADEF2" w14:textId="383A54DC" w:rsidR="005B3BBD" w:rsidRDefault="006766B4" w:rsidP="00B624A6">
      <w:pPr>
        <w:pStyle w:val="Reference"/>
      </w:pPr>
      <w:bookmarkStart w:id="80" w:name="_Ref85010085"/>
      <w:r w:rsidRPr="00BF473B">
        <w:rPr>
          <w:rFonts w:eastAsia="MS Mincho"/>
          <w:szCs w:val="24"/>
          <w:lang w:eastAsia="en-GB"/>
        </w:rPr>
        <w:t>R2-21xxxxx</w:t>
      </w:r>
      <w:r w:rsidR="00F62223" w:rsidRPr="00BF473B">
        <w:t>,</w:t>
      </w:r>
      <w:r w:rsidRPr="00BF473B">
        <w:t xml:space="preserve"> </w:t>
      </w:r>
      <w:r w:rsidR="005B3BBD" w:rsidRPr="00BF473B">
        <w:t>Summary of [Post115-e][</w:t>
      </w:r>
      <w:proofErr w:type="gramStart"/>
      <w:r w:rsidR="005B3BBD" w:rsidRPr="00BF473B">
        <w:t>608][</w:t>
      </w:r>
      <w:proofErr w:type="gramEnd"/>
      <w:r w:rsidR="005B3BBD" w:rsidRPr="00BF473B">
        <w:t>POS] PRS configuration and measurement in RRC_INACTIVE</w:t>
      </w:r>
      <w:r w:rsidRPr="00BF473B">
        <w:t xml:space="preserve">, </w:t>
      </w:r>
      <w:r w:rsidR="00F62223" w:rsidRPr="00BF473B">
        <w:t>Vivo</w:t>
      </w:r>
      <w:r w:rsidR="00F62223">
        <w:rPr>
          <w:rFonts w:eastAsia="MS Mincho"/>
          <w:szCs w:val="24"/>
          <w:lang w:eastAsia="en-GB"/>
        </w:rPr>
        <w:t xml:space="preserve">, </w:t>
      </w:r>
      <w:r w:rsidR="00F62223">
        <w:t>RAN2#116-e, November 2021</w:t>
      </w:r>
      <w:bookmarkEnd w:id="80"/>
    </w:p>
    <w:p w14:paraId="30C2F8D4" w14:textId="0BF8C8EC" w:rsidR="00290CDA" w:rsidRPr="003A2B6B" w:rsidRDefault="00290CDA" w:rsidP="00B624A6">
      <w:pPr>
        <w:pStyle w:val="Reference"/>
      </w:pPr>
      <w:bookmarkStart w:id="81" w:name="_Ref85010422"/>
      <w:r w:rsidRPr="0027530B">
        <w:t>R2-2109079</w:t>
      </w:r>
      <w:r w:rsidR="006F5850">
        <w:t>,</w:t>
      </w:r>
      <w:r w:rsidR="005B086C">
        <w:t xml:space="preserve"> </w:t>
      </w:r>
      <w:r w:rsidR="005B086C" w:rsidRPr="00BF473B">
        <w:t>[AT115-e][</w:t>
      </w:r>
      <w:proofErr w:type="gramStart"/>
      <w:r w:rsidR="005B086C" w:rsidRPr="00BF473B">
        <w:t>501][</w:t>
      </w:r>
      <w:proofErr w:type="spellStart"/>
      <w:proofErr w:type="gramEnd"/>
      <w:r w:rsidR="005B086C" w:rsidRPr="00BF473B">
        <w:t>SData</w:t>
      </w:r>
      <w:proofErr w:type="spellEnd"/>
      <w:r w:rsidR="005B086C" w:rsidRPr="00BF473B">
        <w:t>] UP SDT open issues (LG),</w:t>
      </w:r>
      <w:r w:rsidR="00822440" w:rsidRPr="00BF473B">
        <w:t xml:space="preserve"> 3GPP TSG-RAN2 #115-e</w:t>
      </w:r>
      <w:r w:rsidR="00822440">
        <w:t>,</w:t>
      </w:r>
      <w:r w:rsidR="0031284E">
        <w:t xml:space="preserve"> August 2021</w:t>
      </w:r>
      <w:bookmarkEnd w:id="81"/>
    </w:p>
    <w:bookmarkStart w:id="82" w:name="_Ref67064002"/>
    <w:bookmarkStart w:id="83" w:name="_Ref67489011"/>
    <w:p w14:paraId="7646E46B" w14:textId="2202E9B0" w:rsidR="0060154A" w:rsidRDefault="00CD1936" w:rsidP="00A01B71">
      <w:pPr>
        <w:pStyle w:val="Reference"/>
      </w:pPr>
      <w:r w:rsidRPr="003A2B6B">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82"/>
      <w:r w:rsidRPr="003A2B6B">
        <w:t>Subsequent transmissions after initial SDT, Ericsson, RAN2#112e, November 2020</w:t>
      </w:r>
      <w:bookmarkEnd w:id="83"/>
    </w:p>
    <w:bookmarkStart w:id="84" w:name="_Ref71028233"/>
    <w:p w14:paraId="122CACAD" w14:textId="085CC81E" w:rsidR="003A7EF3" w:rsidRPr="00CE0424" w:rsidRDefault="00342016" w:rsidP="00DA35C6">
      <w:pPr>
        <w:pStyle w:val="Reference"/>
      </w:pPr>
      <w:r w:rsidRPr="00A01B71">
        <w:fldChar w:fldCharType="begin"/>
      </w:r>
      <w:r w:rsidR="00EE5232">
        <w:instrText>HYPERLINK "https://www.3gpp.org/ftp/TSG_RAN/WG2_RL2/TSGR2_115-e/Docs/R2-2108253.zip"</w:instrText>
      </w:r>
      <w:r w:rsidRPr="00A01B71">
        <w:fldChar w:fldCharType="separate"/>
      </w:r>
      <w:r w:rsidR="00EE5232">
        <w:rPr>
          <w:rStyle w:val="Hyperlink"/>
        </w:rPr>
        <w:t>R2-2108253</w:t>
      </w:r>
      <w:r w:rsidRPr="00A01B71">
        <w:fldChar w:fldCharType="end"/>
      </w:r>
      <w:r w:rsidR="00AE1DAD">
        <w:t>, RACH partitioning for Rel-17 features, Ericsson, RAN2#11</w:t>
      </w:r>
      <w:r w:rsidR="004139DA">
        <w:t>5</w:t>
      </w:r>
      <w:r w:rsidR="00AE1DAD">
        <w:t xml:space="preserve">-e, </w:t>
      </w:r>
      <w:r w:rsidR="004139DA">
        <w:t>August</w:t>
      </w:r>
      <w:r w:rsidR="00AE1DAD">
        <w:t xml:space="preserve"> 2021</w:t>
      </w:r>
      <w:bookmarkEnd w:id="76"/>
      <w:bookmarkEnd w:id="77"/>
      <w:bookmarkEnd w:id="84"/>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18A1" w14:textId="77777777" w:rsidR="00992262" w:rsidRDefault="00992262">
      <w:r>
        <w:separator/>
      </w:r>
    </w:p>
  </w:endnote>
  <w:endnote w:type="continuationSeparator" w:id="0">
    <w:p w14:paraId="33AD7CFB" w14:textId="77777777" w:rsidR="00992262" w:rsidRDefault="00992262">
      <w:r>
        <w:continuationSeparator/>
      </w:r>
    </w:p>
  </w:endnote>
  <w:endnote w:type="continuationNotice" w:id="1">
    <w:p w14:paraId="2231B87F" w14:textId="77777777" w:rsidR="00992262" w:rsidRDefault="00992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0ADE" w14:textId="77777777" w:rsidR="00992262" w:rsidRDefault="00992262">
      <w:r>
        <w:separator/>
      </w:r>
    </w:p>
  </w:footnote>
  <w:footnote w:type="continuationSeparator" w:id="0">
    <w:p w14:paraId="719544CD" w14:textId="77777777" w:rsidR="00992262" w:rsidRDefault="00992262">
      <w:r>
        <w:continuationSeparator/>
      </w:r>
    </w:p>
  </w:footnote>
  <w:footnote w:type="continuationNotice" w:id="1">
    <w:p w14:paraId="1565B319" w14:textId="77777777" w:rsidR="00992262" w:rsidRDefault="009922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41EA7"/>
    <w:multiLevelType w:val="hybridMultilevel"/>
    <w:tmpl w:val="51A249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B775F3"/>
    <w:multiLevelType w:val="hybridMultilevel"/>
    <w:tmpl w:val="8A206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AB3B93"/>
    <w:multiLevelType w:val="hybridMultilevel"/>
    <w:tmpl w:val="1CBCA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F4EDF"/>
    <w:multiLevelType w:val="hybridMultilevel"/>
    <w:tmpl w:val="01848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E606FBB"/>
    <w:multiLevelType w:val="hybridMultilevel"/>
    <w:tmpl w:val="6B588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19"/>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7"/>
  </w:num>
  <w:num w:numId="18">
    <w:abstractNumId w:val="10"/>
  </w:num>
  <w:num w:numId="19">
    <w:abstractNumId w:val="5"/>
  </w:num>
  <w:num w:numId="20">
    <w:abstractNumId w:val="33"/>
  </w:num>
  <w:num w:numId="21">
    <w:abstractNumId w:val="15"/>
  </w:num>
  <w:num w:numId="22">
    <w:abstractNumId w:val="31"/>
  </w:num>
  <w:num w:numId="23">
    <w:abstractNumId w:val="34"/>
  </w:num>
  <w:num w:numId="24">
    <w:abstractNumId w:val="32"/>
  </w:num>
  <w:num w:numId="25">
    <w:abstractNumId w:val="28"/>
  </w:num>
  <w:num w:numId="26">
    <w:abstractNumId w:val="6"/>
  </w:num>
  <w:num w:numId="27">
    <w:abstractNumId w:val="29"/>
  </w:num>
  <w:num w:numId="28">
    <w:abstractNumId w:val="8"/>
  </w:num>
  <w:num w:numId="29">
    <w:abstractNumId w:val="20"/>
  </w:num>
  <w:num w:numId="30">
    <w:abstractNumId w:val="8"/>
  </w:num>
  <w:num w:numId="31">
    <w:abstractNumId w:val="30"/>
  </w:num>
  <w:num w:numId="32">
    <w:abstractNumId w:val="35"/>
  </w:num>
  <w:num w:numId="33">
    <w:abstractNumId w:val="9"/>
  </w:num>
  <w:num w:numId="34">
    <w:abstractNumId w:val="12"/>
  </w:num>
  <w:num w:numId="35">
    <w:abstractNumId w:val="21"/>
  </w:num>
  <w:num w:numId="36">
    <w:abstractNumId w:val="23"/>
  </w:num>
  <w:num w:numId="37">
    <w:abstractNumId w:val="4"/>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064E"/>
    <w:rsid w:val="00011B28"/>
    <w:rsid w:val="00015D15"/>
    <w:rsid w:val="0002564D"/>
    <w:rsid w:val="00025ECA"/>
    <w:rsid w:val="00025F4C"/>
    <w:rsid w:val="000318EC"/>
    <w:rsid w:val="000325B8"/>
    <w:rsid w:val="00033C46"/>
    <w:rsid w:val="00034C15"/>
    <w:rsid w:val="00036BA1"/>
    <w:rsid w:val="000422E2"/>
    <w:rsid w:val="00042F22"/>
    <w:rsid w:val="000444EF"/>
    <w:rsid w:val="00052A07"/>
    <w:rsid w:val="000534E3"/>
    <w:rsid w:val="0005606A"/>
    <w:rsid w:val="00057117"/>
    <w:rsid w:val="000616E7"/>
    <w:rsid w:val="0006487E"/>
    <w:rsid w:val="000657F6"/>
    <w:rsid w:val="00065D49"/>
    <w:rsid w:val="00065E1A"/>
    <w:rsid w:val="00072A2C"/>
    <w:rsid w:val="0007314C"/>
    <w:rsid w:val="00074F2C"/>
    <w:rsid w:val="00077E5F"/>
    <w:rsid w:val="0008036A"/>
    <w:rsid w:val="00081AE6"/>
    <w:rsid w:val="000855EB"/>
    <w:rsid w:val="00085B52"/>
    <w:rsid w:val="000866F2"/>
    <w:rsid w:val="0009009F"/>
    <w:rsid w:val="000909C2"/>
    <w:rsid w:val="00091557"/>
    <w:rsid w:val="000924C1"/>
    <w:rsid w:val="000924F0"/>
    <w:rsid w:val="00093474"/>
    <w:rsid w:val="0009510F"/>
    <w:rsid w:val="00095537"/>
    <w:rsid w:val="000978F2"/>
    <w:rsid w:val="000A1B7B"/>
    <w:rsid w:val="000A56F2"/>
    <w:rsid w:val="000B1F1B"/>
    <w:rsid w:val="000B20D1"/>
    <w:rsid w:val="000B2719"/>
    <w:rsid w:val="000B3A8F"/>
    <w:rsid w:val="000B4AB9"/>
    <w:rsid w:val="000B58C3"/>
    <w:rsid w:val="000B61E9"/>
    <w:rsid w:val="000B74EA"/>
    <w:rsid w:val="000C0506"/>
    <w:rsid w:val="000C165A"/>
    <w:rsid w:val="000C2E19"/>
    <w:rsid w:val="000D0D07"/>
    <w:rsid w:val="000D4797"/>
    <w:rsid w:val="000D6A44"/>
    <w:rsid w:val="000D775E"/>
    <w:rsid w:val="000E0527"/>
    <w:rsid w:val="000E1E92"/>
    <w:rsid w:val="000E323C"/>
    <w:rsid w:val="000E40FA"/>
    <w:rsid w:val="000F06D6"/>
    <w:rsid w:val="000F0EB1"/>
    <w:rsid w:val="000F1106"/>
    <w:rsid w:val="000F3BE9"/>
    <w:rsid w:val="000F3F6C"/>
    <w:rsid w:val="000F615F"/>
    <w:rsid w:val="000F6DF3"/>
    <w:rsid w:val="000F730C"/>
    <w:rsid w:val="000F7DA1"/>
    <w:rsid w:val="000F7E57"/>
    <w:rsid w:val="000F7EAA"/>
    <w:rsid w:val="001005BC"/>
    <w:rsid w:val="001005FF"/>
    <w:rsid w:val="001062FB"/>
    <w:rsid w:val="001063E6"/>
    <w:rsid w:val="00110661"/>
    <w:rsid w:val="00110B51"/>
    <w:rsid w:val="00113CF4"/>
    <w:rsid w:val="00114723"/>
    <w:rsid w:val="001153EA"/>
    <w:rsid w:val="00115643"/>
    <w:rsid w:val="0011651B"/>
    <w:rsid w:val="00116765"/>
    <w:rsid w:val="00120E61"/>
    <w:rsid w:val="001219F5"/>
    <w:rsid w:val="00121A20"/>
    <w:rsid w:val="001230F6"/>
    <w:rsid w:val="0012377F"/>
    <w:rsid w:val="00124314"/>
    <w:rsid w:val="001244F4"/>
    <w:rsid w:val="00126613"/>
    <w:rsid w:val="00126B4A"/>
    <w:rsid w:val="00130A2B"/>
    <w:rsid w:val="00132FD0"/>
    <w:rsid w:val="001344C0"/>
    <w:rsid w:val="001346FA"/>
    <w:rsid w:val="00135252"/>
    <w:rsid w:val="00137AB5"/>
    <w:rsid w:val="00137F0B"/>
    <w:rsid w:val="00151E23"/>
    <w:rsid w:val="001526E0"/>
    <w:rsid w:val="001551B5"/>
    <w:rsid w:val="00160C3E"/>
    <w:rsid w:val="001610BA"/>
    <w:rsid w:val="001659C1"/>
    <w:rsid w:val="00167CDD"/>
    <w:rsid w:val="001722EC"/>
    <w:rsid w:val="00172805"/>
    <w:rsid w:val="00173A8E"/>
    <w:rsid w:val="0017502C"/>
    <w:rsid w:val="0018143F"/>
    <w:rsid w:val="00181FF8"/>
    <w:rsid w:val="001873FF"/>
    <w:rsid w:val="00190AC1"/>
    <w:rsid w:val="0019341A"/>
    <w:rsid w:val="00197DF9"/>
    <w:rsid w:val="001A1987"/>
    <w:rsid w:val="001A2564"/>
    <w:rsid w:val="001A2B75"/>
    <w:rsid w:val="001A6173"/>
    <w:rsid w:val="001A6CBA"/>
    <w:rsid w:val="001B08AC"/>
    <w:rsid w:val="001B0D97"/>
    <w:rsid w:val="001B5A5D"/>
    <w:rsid w:val="001C1CE5"/>
    <w:rsid w:val="001C3D2A"/>
    <w:rsid w:val="001C41AB"/>
    <w:rsid w:val="001D1153"/>
    <w:rsid w:val="001D23C4"/>
    <w:rsid w:val="001D51BA"/>
    <w:rsid w:val="001D53E7"/>
    <w:rsid w:val="001D58A5"/>
    <w:rsid w:val="001D6342"/>
    <w:rsid w:val="001D67E7"/>
    <w:rsid w:val="001D6D53"/>
    <w:rsid w:val="001D71E3"/>
    <w:rsid w:val="001E18CD"/>
    <w:rsid w:val="001E4CF1"/>
    <w:rsid w:val="001E5326"/>
    <w:rsid w:val="001E58E2"/>
    <w:rsid w:val="001E7AED"/>
    <w:rsid w:val="001F3916"/>
    <w:rsid w:val="001F54C5"/>
    <w:rsid w:val="001F5693"/>
    <w:rsid w:val="001F6075"/>
    <w:rsid w:val="001F662C"/>
    <w:rsid w:val="001F7074"/>
    <w:rsid w:val="00200490"/>
    <w:rsid w:val="00201F3A"/>
    <w:rsid w:val="0020210E"/>
    <w:rsid w:val="00203F96"/>
    <w:rsid w:val="002069B2"/>
    <w:rsid w:val="00207FA3"/>
    <w:rsid w:val="00211BB5"/>
    <w:rsid w:val="00214DA8"/>
    <w:rsid w:val="00215423"/>
    <w:rsid w:val="002158FA"/>
    <w:rsid w:val="00216548"/>
    <w:rsid w:val="00220600"/>
    <w:rsid w:val="002224DB"/>
    <w:rsid w:val="00223FCB"/>
    <w:rsid w:val="002252C3"/>
    <w:rsid w:val="00225974"/>
    <w:rsid w:val="00225C54"/>
    <w:rsid w:val="00226EEB"/>
    <w:rsid w:val="00230765"/>
    <w:rsid w:val="00230D18"/>
    <w:rsid w:val="002319E4"/>
    <w:rsid w:val="00232828"/>
    <w:rsid w:val="00232F8D"/>
    <w:rsid w:val="0023453A"/>
    <w:rsid w:val="00234CF4"/>
    <w:rsid w:val="00235632"/>
    <w:rsid w:val="00235872"/>
    <w:rsid w:val="002370A6"/>
    <w:rsid w:val="00240428"/>
    <w:rsid w:val="00241559"/>
    <w:rsid w:val="002435B3"/>
    <w:rsid w:val="002458EB"/>
    <w:rsid w:val="002500C8"/>
    <w:rsid w:val="00253053"/>
    <w:rsid w:val="002540BB"/>
    <w:rsid w:val="002568A8"/>
    <w:rsid w:val="00257381"/>
    <w:rsid w:val="00257543"/>
    <w:rsid w:val="00257748"/>
    <w:rsid w:val="002617E7"/>
    <w:rsid w:val="00264228"/>
    <w:rsid w:val="00264334"/>
    <w:rsid w:val="0026473E"/>
    <w:rsid w:val="00266214"/>
    <w:rsid w:val="00267C83"/>
    <w:rsid w:val="00270A0D"/>
    <w:rsid w:val="0027144F"/>
    <w:rsid w:val="00271813"/>
    <w:rsid w:val="00271F3A"/>
    <w:rsid w:val="00273278"/>
    <w:rsid w:val="002734BF"/>
    <w:rsid w:val="002737F4"/>
    <w:rsid w:val="002805F5"/>
    <w:rsid w:val="00280751"/>
    <w:rsid w:val="0028280A"/>
    <w:rsid w:val="002867C8"/>
    <w:rsid w:val="00286ACD"/>
    <w:rsid w:val="00287838"/>
    <w:rsid w:val="002907B5"/>
    <w:rsid w:val="00290B2A"/>
    <w:rsid w:val="00290CDA"/>
    <w:rsid w:val="00292EB7"/>
    <w:rsid w:val="00296227"/>
    <w:rsid w:val="00296F44"/>
    <w:rsid w:val="0029777D"/>
    <w:rsid w:val="002A055E"/>
    <w:rsid w:val="002A1D4E"/>
    <w:rsid w:val="002A248E"/>
    <w:rsid w:val="002A2869"/>
    <w:rsid w:val="002A4FEB"/>
    <w:rsid w:val="002A7A8C"/>
    <w:rsid w:val="002A7FF6"/>
    <w:rsid w:val="002B0930"/>
    <w:rsid w:val="002B24D6"/>
    <w:rsid w:val="002B7B35"/>
    <w:rsid w:val="002C41E6"/>
    <w:rsid w:val="002D071A"/>
    <w:rsid w:val="002D2A38"/>
    <w:rsid w:val="002D34B2"/>
    <w:rsid w:val="002D48B0"/>
    <w:rsid w:val="002D5B37"/>
    <w:rsid w:val="002D7637"/>
    <w:rsid w:val="002E17F2"/>
    <w:rsid w:val="002E7CAE"/>
    <w:rsid w:val="002F14B7"/>
    <w:rsid w:val="002F2771"/>
    <w:rsid w:val="002F37A9"/>
    <w:rsid w:val="002F57B8"/>
    <w:rsid w:val="00301CE6"/>
    <w:rsid w:val="0030256B"/>
    <w:rsid w:val="00302B22"/>
    <w:rsid w:val="0030501F"/>
    <w:rsid w:val="0030768E"/>
    <w:rsid w:val="00307BA1"/>
    <w:rsid w:val="00311702"/>
    <w:rsid w:val="00311E82"/>
    <w:rsid w:val="0031284E"/>
    <w:rsid w:val="00312FEF"/>
    <w:rsid w:val="00313FD6"/>
    <w:rsid w:val="003143BD"/>
    <w:rsid w:val="00315363"/>
    <w:rsid w:val="0031789B"/>
    <w:rsid w:val="003203ED"/>
    <w:rsid w:val="00322C9F"/>
    <w:rsid w:val="00324D23"/>
    <w:rsid w:val="00331751"/>
    <w:rsid w:val="0033301C"/>
    <w:rsid w:val="00334579"/>
    <w:rsid w:val="003345AD"/>
    <w:rsid w:val="00335858"/>
    <w:rsid w:val="00336BDA"/>
    <w:rsid w:val="00342016"/>
    <w:rsid w:val="00342BD7"/>
    <w:rsid w:val="00346DB5"/>
    <w:rsid w:val="003477B1"/>
    <w:rsid w:val="0035158A"/>
    <w:rsid w:val="00357380"/>
    <w:rsid w:val="003602D9"/>
    <w:rsid w:val="003604CE"/>
    <w:rsid w:val="00361196"/>
    <w:rsid w:val="0036263B"/>
    <w:rsid w:val="00370E47"/>
    <w:rsid w:val="003742AC"/>
    <w:rsid w:val="00374321"/>
    <w:rsid w:val="00377CE1"/>
    <w:rsid w:val="00381A45"/>
    <w:rsid w:val="003845EC"/>
    <w:rsid w:val="00385BF0"/>
    <w:rsid w:val="0039090E"/>
    <w:rsid w:val="003939FF"/>
    <w:rsid w:val="003A2223"/>
    <w:rsid w:val="003A2A0F"/>
    <w:rsid w:val="003A2B6B"/>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2702"/>
    <w:rsid w:val="003C65DB"/>
    <w:rsid w:val="003C761E"/>
    <w:rsid w:val="003C7806"/>
    <w:rsid w:val="003D109F"/>
    <w:rsid w:val="003D2478"/>
    <w:rsid w:val="003D3C45"/>
    <w:rsid w:val="003D5B1F"/>
    <w:rsid w:val="003E15FA"/>
    <w:rsid w:val="003E55E4"/>
    <w:rsid w:val="003E74E3"/>
    <w:rsid w:val="003F05C7"/>
    <w:rsid w:val="003F2CD4"/>
    <w:rsid w:val="003F6292"/>
    <w:rsid w:val="003F6BBE"/>
    <w:rsid w:val="004000E8"/>
    <w:rsid w:val="004008EB"/>
    <w:rsid w:val="00402E2B"/>
    <w:rsid w:val="0040512B"/>
    <w:rsid w:val="00405CA5"/>
    <w:rsid w:val="00407CD3"/>
    <w:rsid w:val="00410134"/>
    <w:rsid w:val="00410B72"/>
    <w:rsid w:val="00410F18"/>
    <w:rsid w:val="0041263E"/>
    <w:rsid w:val="004139DA"/>
    <w:rsid w:val="00413AAC"/>
    <w:rsid w:val="00413E92"/>
    <w:rsid w:val="004142F8"/>
    <w:rsid w:val="0041797B"/>
    <w:rsid w:val="00421105"/>
    <w:rsid w:val="00422AA4"/>
    <w:rsid w:val="004242F4"/>
    <w:rsid w:val="00425FAD"/>
    <w:rsid w:val="00427248"/>
    <w:rsid w:val="00435DE1"/>
    <w:rsid w:val="004363DA"/>
    <w:rsid w:val="00437447"/>
    <w:rsid w:val="00441A92"/>
    <w:rsid w:val="0044224E"/>
    <w:rsid w:val="004431DC"/>
    <w:rsid w:val="00444F56"/>
    <w:rsid w:val="00445945"/>
    <w:rsid w:val="00446488"/>
    <w:rsid w:val="004517AA"/>
    <w:rsid w:val="00452CAC"/>
    <w:rsid w:val="00457565"/>
    <w:rsid w:val="00457B71"/>
    <w:rsid w:val="00461830"/>
    <w:rsid w:val="00463960"/>
    <w:rsid w:val="0046541F"/>
    <w:rsid w:val="004669E2"/>
    <w:rsid w:val="00466EC6"/>
    <w:rsid w:val="00470C31"/>
    <w:rsid w:val="00471DE0"/>
    <w:rsid w:val="004734D0"/>
    <w:rsid w:val="0047556B"/>
    <w:rsid w:val="00476E19"/>
    <w:rsid w:val="00477768"/>
    <w:rsid w:val="00485FE1"/>
    <w:rsid w:val="00490712"/>
    <w:rsid w:val="00492BC5"/>
    <w:rsid w:val="00493869"/>
    <w:rsid w:val="004964F1"/>
    <w:rsid w:val="004A16BC"/>
    <w:rsid w:val="004A208F"/>
    <w:rsid w:val="004A2B94"/>
    <w:rsid w:val="004A66D7"/>
    <w:rsid w:val="004B6F6A"/>
    <w:rsid w:val="004B7C0C"/>
    <w:rsid w:val="004C1956"/>
    <w:rsid w:val="004C3898"/>
    <w:rsid w:val="004D36B1"/>
    <w:rsid w:val="004D5406"/>
    <w:rsid w:val="004D7EBD"/>
    <w:rsid w:val="004E1784"/>
    <w:rsid w:val="004E2680"/>
    <w:rsid w:val="004E28F9"/>
    <w:rsid w:val="004E462E"/>
    <w:rsid w:val="004E4CC9"/>
    <w:rsid w:val="004E56DC"/>
    <w:rsid w:val="004E76F4"/>
    <w:rsid w:val="004F0B4E"/>
    <w:rsid w:val="004F0B6C"/>
    <w:rsid w:val="004F2078"/>
    <w:rsid w:val="004F4DA3"/>
    <w:rsid w:val="004F73FD"/>
    <w:rsid w:val="00500D52"/>
    <w:rsid w:val="00505ABC"/>
    <w:rsid w:val="00506557"/>
    <w:rsid w:val="0050677A"/>
    <w:rsid w:val="00507F07"/>
    <w:rsid w:val="005108D8"/>
    <w:rsid w:val="00511220"/>
    <w:rsid w:val="005116F9"/>
    <w:rsid w:val="00511F82"/>
    <w:rsid w:val="005153A7"/>
    <w:rsid w:val="005219CF"/>
    <w:rsid w:val="00522AC2"/>
    <w:rsid w:val="00534B59"/>
    <w:rsid w:val="00536759"/>
    <w:rsid w:val="00537C62"/>
    <w:rsid w:val="00546970"/>
    <w:rsid w:val="00554E19"/>
    <w:rsid w:val="0055592E"/>
    <w:rsid w:val="0056121F"/>
    <w:rsid w:val="005640C9"/>
    <w:rsid w:val="00572505"/>
    <w:rsid w:val="00575C3C"/>
    <w:rsid w:val="0057678E"/>
    <w:rsid w:val="00582044"/>
    <w:rsid w:val="00582809"/>
    <w:rsid w:val="005839A0"/>
    <w:rsid w:val="0058798C"/>
    <w:rsid w:val="005900FA"/>
    <w:rsid w:val="00590745"/>
    <w:rsid w:val="005935A4"/>
    <w:rsid w:val="005944E0"/>
    <w:rsid w:val="005948C2"/>
    <w:rsid w:val="00595DCA"/>
    <w:rsid w:val="0059779B"/>
    <w:rsid w:val="005A209A"/>
    <w:rsid w:val="005A2AA4"/>
    <w:rsid w:val="005A662D"/>
    <w:rsid w:val="005B086C"/>
    <w:rsid w:val="005B0E9F"/>
    <w:rsid w:val="005B1409"/>
    <w:rsid w:val="005B1A3C"/>
    <w:rsid w:val="005B35D7"/>
    <w:rsid w:val="005B392A"/>
    <w:rsid w:val="005B3AA3"/>
    <w:rsid w:val="005B3BBD"/>
    <w:rsid w:val="005B6F83"/>
    <w:rsid w:val="005C526F"/>
    <w:rsid w:val="005C74FB"/>
    <w:rsid w:val="005D1602"/>
    <w:rsid w:val="005E385F"/>
    <w:rsid w:val="005E4595"/>
    <w:rsid w:val="005E5B81"/>
    <w:rsid w:val="005F2CB1"/>
    <w:rsid w:val="005F2D38"/>
    <w:rsid w:val="005F3025"/>
    <w:rsid w:val="005F5BE7"/>
    <w:rsid w:val="005F618C"/>
    <w:rsid w:val="005F70BD"/>
    <w:rsid w:val="0060154A"/>
    <w:rsid w:val="0060283C"/>
    <w:rsid w:val="006029B5"/>
    <w:rsid w:val="00603D0B"/>
    <w:rsid w:val="006043E3"/>
    <w:rsid w:val="00604F14"/>
    <w:rsid w:val="006053B5"/>
    <w:rsid w:val="00610BA5"/>
    <w:rsid w:val="00611B83"/>
    <w:rsid w:val="00613257"/>
    <w:rsid w:val="006148EE"/>
    <w:rsid w:val="006159C5"/>
    <w:rsid w:val="00620A71"/>
    <w:rsid w:val="00620D80"/>
    <w:rsid w:val="006234A6"/>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922"/>
    <w:rsid w:val="00670BE1"/>
    <w:rsid w:val="0067218F"/>
    <w:rsid w:val="006741F2"/>
    <w:rsid w:val="00674CC3"/>
    <w:rsid w:val="00675C72"/>
    <w:rsid w:val="006766B4"/>
    <w:rsid w:val="006771F9"/>
    <w:rsid w:val="006776D7"/>
    <w:rsid w:val="00680C47"/>
    <w:rsid w:val="00681003"/>
    <w:rsid w:val="006817C9"/>
    <w:rsid w:val="00683ECE"/>
    <w:rsid w:val="00687A9C"/>
    <w:rsid w:val="006928E8"/>
    <w:rsid w:val="00695AF5"/>
    <w:rsid w:val="00695FC2"/>
    <w:rsid w:val="00696949"/>
    <w:rsid w:val="00697052"/>
    <w:rsid w:val="006A1B80"/>
    <w:rsid w:val="006A46FB"/>
    <w:rsid w:val="006A5E28"/>
    <w:rsid w:val="006A697B"/>
    <w:rsid w:val="006A7AFF"/>
    <w:rsid w:val="006B04AF"/>
    <w:rsid w:val="006B1816"/>
    <w:rsid w:val="006B2099"/>
    <w:rsid w:val="006B4E23"/>
    <w:rsid w:val="006B50CF"/>
    <w:rsid w:val="006B6D5B"/>
    <w:rsid w:val="006B7E8D"/>
    <w:rsid w:val="006C03B8"/>
    <w:rsid w:val="006C12E3"/>
    <w:rsid w:val="006C397F"/>
    <w:rsid w:val="006C5EC9"/>
    <w:rsid w:val="006C6059"/>
    <w:rsid w:val="006C7522"/>
    <w:rsid w:val="006D25EA"/>
    <w:rsid w:val="006D330C"/>
    <w:rsid w:val="006D6F08"/>
    <w:rsid w:val="006E062C"/>
    <w:rsid w:val="006E1C82"/>
    <w:rsid w:val="006E28B7"/>
    <w:rsid w:val="006E2A9B"/>
    <w:rsid w:val="006E3310"/>
    <w:rsid w:val="006E4E39"/>
    <w:rsid w:val="006E565E"/>
    <w:rsid w:val="006E673D"/>
    <w:rsid w:val="006E77B5"/>
    <w:rsid w:val="006E7D3B"/>
    <w:rsid w:val="006F1B70"/>
    <w:rsid w:val="006F341D"/>
    <w:rsid w:val="006F3CDE"/>
    <w:rsid w:val="006F5850"/>
    <w:rsid w:val="006F58D4"/>
    <w:rsid w:val="006F6582"/>
    <w:rsid w:val="007017A0"/>
    <w:rsid w:val="0070346E"/>
    <w:rsid w:val="00704EDB"/>
    <w:rsid w:val="00706101"/>
    <w:rsid w:val="00706553"/>
    <w:rsid w:val="00707072"/>
    <w:rsid w:val="00707D61"/>
    <w:rsid w:val="00712287"/>
    <w:rsid w:val="00712772"/>
    <w:rsid w:val="007148D3"/>
    <w:rsid w:val="00715B9A"/>
    <w:rsid w:val="0072117E"/>
    <w:rsid w:val="007252A6"/>
    <w:rsid w:val="007257D0"/>
    <w:rsid w:val="00726EA6"/>
    <w:rsid w:val="00727208"/>
    <w:rsid w:val="00727680"/>
    <w:rsid w:val="0073052C"/>
    <w:rsid w:val="007348B1"/>
    <w:rsid w:val="007362A6"/>
    <w:rsid w:val="00736D7D"/>
    <w:rsid w:val="00740E58"/>
    <w:rsid w:val="007411FE"/>
    <w:rsid w:val="007445A0"/>
    <w:rsid w:val="0074524B"/>
    <w:rsid w:val="00747D8B"/>
    <w:rsid w:val="00751228"/>
    <w:rsid w:val="0075696F"/>
    <w:rsid w:val="00756B25"/>
    <w:rsid w:val="00756FBD"/>
    <w:rsid w:val="007571E1"/>
    <w:rsid w:val="0075725A"/>
    <w:rsid w:val="00757A16"/>
    <w:rsid w:val="00757B80"/>
    <w:rsid w:val="007604B2"/>
    <w:rsid w:val="00760A57"/>
    <w:rsid w:val="00762487"/>
    <w:rsid w:val="007636C1"/>
    <w:rsid w:val="00765281"/>
    <w:rsid w:val="00766BAD"/>
    <w:rsid w:val="007729A2"/>
    <w:rsid w:val="00772A5F"/>
    <w:rsid w:val="007755F2"/>
    <w:rsid w:val="00776971"/>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6DD1"/>
    <w:rsid w:val="007B1011"/>
    <w:rsid w:val="007B1209"/>
    <w:rsid w:val="007B3D2D"/>
    <w:rsid w:val="007B50AE"/>
    <w:rsid w:val="007B51DF"/>
    <w:rsid w:val="007C05DD"/>
    <w:rsid w:val="007C1918"/>
    <w:rsid w:val="007C2187"/>
    <w:rsid w:val="007C3D18"/>
    <w:rsid w:val="007C4BC2"/>
    <w:rsid w:val="007C60BF"/>
    <w:rsid w:val="007C6A07"/>
    <w:rsid w:val="007C75A1"/>
    <w:rsid w:val="007C77A5"/>
    <w:rsid w:val="007D04E5"/>
    <w:rsid w:val="007D4AD2"/>
    <w:rsid w:val="007D5901"/>
    <w:rsid w:val="007D6505"/>
    <w:rsid w:val="007D7526"/>
    <w:rsid w:val="007E4610"/>
    <w:rsid w:val="007E4715"/>
    <w:rsid w:val="007E4C51"/>
    <w:rsid w:val="007E505B"/>
    <w:rsid w:val="007E55DE"/>
    <w:rsid w:val="007E7091"/>
    <w:rsid w:val="00803FAE"/>
    <w:rsid w:val="008057F7"/>
    <w:rsid w:val="0080605F"/>
    <w:rsid w:val="00807786"/>
    <w:rsid w:val="008107C2"/>
    <w:rsid w:val="00811FCB"/>
    <w:rsid w:val="008158D6"/>
    <w:rsid w:val="00817196"/>
    <w:rsid w:val="008222CD"/>
    <w:rsid w:val="00822440"/>
    <w:rsid w:val="008235DB"/>
    <w:rsid w:val="00824AB4"/>
    <w:rsid w:val="00825C42"/>
    <w:rsid w:val="00825D25"/>
    <w:rsid w:val="00827D6F"/>
    <w:rsid w:val="0083214D"/>
    <w:rsid w:val="008323D0"/>
    <w:rsid w:val="008376AC"/>
    <w:rsid w:val="0084033E"/>
    <w:rsid w:val="008444E8"/>
    <w:rsid w:val="00844E80"/>
    <w:rsid w:val="00846FE7"/>
    <w:rsid w:val="00856911"/>
    <w:rsid w:val="00857A30"/>
    <w:rsid w:val="0086103D"/>
    <w:rsid w:val="008677FD"/>
    <w:rsid w:val="008706D4"/>
    <w:rsid w:val="00870F8A"/>
    <w:rsid w:val="008719A4"/>
    <w:rsid w:val="00871D23"/>
    <w:rsid w:val="00872D0C"/>
    <w:rsid w:val="00874312"/>
    <w:rsid w:val="0087437C"/>
    <w:rsid w:val="00875CD7"/>
    <w:rsid w:val="00876B4D"/>
    <w:rsid w:val="00877F18"/>
    <w:rsid w:val="00883A5B"/>
    <w:rsid w:val="0088643B"/>
    <w:rsid w:val="00891434"/>
    <w:rsid w:val="00891DBC"/>
    <w:rsid w:val="0089336E"/>
    <w:rsid w:val="008941E3"/>
    <w:rsid w:val="00894A88"/>
    <w:rsid w:val="00895386"/>
    <w:rsid w:val="0089661D"/>
    <w:rsid w:val="0089744C"/>
    <w:rsid w:val="008A1970"/>
    <w:rsid w:val="008A21FF"/>
    <w:rsid w:val="008A2CE2"/>
    <w:rsid w:val="008A2FCB"/>
    <w:rsid w:val="008A30AC"/>
    <w:rsid w:val="008A44B8"/>
    <w:rsid w:val="008A51A8"/>
    <w:rsid w:val="008A54C7"/>
    <w:rsid w:val="008A704E"/>
    <w:rsid w:val="008A77D8"/>
    <w:rsid w:val="008B0483"/>
    <w:rsid w:val="008B120C"/>
    <w:rsid w:val="008B1320"/>
    <w:rsid w:val="008B51A0"/>
    <w:rsid w:val="008B592A"/>
    <w:rsid w:val="008B7B5C"/>
    <w:rsid w:val="008C0C99"/>
    <w:rsid w:val="008C2017"/>
    <w:rsid w:val="008C263C"/>
    <w:rsid w:val="008C4958"/>
    <w:rsid w:val="008C4BAA"/>
    <w:rsid w:val="008C6AE8"/>
    <w:rsid w:val="008C7573"/>
    <w:rsid w:val="008D00A5"/>
    <w:rsid w:val="008D1A69"/>
    <w:rsid w:val="008D32A6"/>
    <w:rsid w:val="008D34F1"/>
    <w:rsid w:val="008D39D8"/>
    <w:rsid w:val="008D6D1A"/>
    <w:rsid w:val="008E065E"/>
    <w:rsid w:val="008E0927"/>
    <w:rsid w:val="008E1909"/>
    <w:rsid w:val="008E38AD"/>
    <w:rsid w:val="008F1EAB"/>
    <w:rsid w:val="008F33DC"/>
    <w:rsid w:val="008F477F"/>
    <w:rsid w:val="008F7C36"/>
    <w:rsid w:val="00902350"/>
    <w:rsid w:val="009028A3"/>
    <w:rsid w:val="0090336B"/>
    <w:rsid w:val="009053AA"/>
    <w:rsid w:val="00906939"/>
    <w:rsid w:val="00910B7D"/>
    <w:rsid w:val="00911DFB"/>
    <w:rsid w:val="009139D9"/>
    <w:rsid w:val="00913D11"/>
    <w:rsid w:val="00914600"/>
    <w:rsid w:val="00914AD8"/>
    <w:rsid w:val="00915DAE"/>
    <w:rsid w:val="00915E3B"/>
    <w:rsid w:val="00916079"/>
    <w:rsid w:val="00917CE9"/>
    <w:rsid w:val="00920BF2"/>
    <w:rsid w:val="00920D13"/>
    <w:rsid w:val="00922010"/>
    <w:rsid w:val="00922D90"/>
    <w:rsid w:val="00931BD9"/>
    <w:rsid w:val="009368F3"/>
    <w:rsid w:val="00941636"/>
    <w:rsid w:val="009420BC"/>
    <w:rsid w:val="009425E8"/>
    <w:rsid w:val="00943742"/>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3260"/>
    <w:rsid w:val="009633A6"/>
    <w:rsid w:val="0096430A"/>
    <w:rsid w:val="0096554B"/>
    <w:rsid w:val="009656B6"/>
    <w:rsid w:val="0096584A"/>
    <w:rsid w:val="009710DA"/>
    <w:rsid w:val="00971F08"/>
    <w:rsid w:val="00973914"/>
    <w:rsid w:val="0097603D"/>
    <w:rsid w:val="00976949"/>
    <w:rsid w:val="00980477"/>
    <w:rsid w:val="00984BC0"/>
    <w:rsid w:val="00984EAE"/>
    <w:rsid w:val="00985253"/>
    <w:rsid w:val="009853B3"/>
    <w:rsid w:val="00990630"/>
    <w:rsid w:val="00991761"/>
    <w:rsid w:val="00992262"/>
    <w:rsid w:val="00994DCA"/>
    <w:rsid w:val="009960EC"/>
    <w:rsid w:val="009970DD"/>
    <w:rsid w:val="009A0FBA"/>
    <w:rsid w:val="009A1601"/>
    <w:rsid w:val="009A3BB6"/>
    <w:rsid w:val="009A462D"/>
    <w:rsid w:val="009A5CBA"/>
    <w:rsid w:val="009A639B"/>
    <w:rsid w:val="009A75CE"/>
    <w:rsid w:val="009B1F30"/>
    <w:rsid w:val="009B3AC2"/>
    <w:rsid w:val="009B4DF4"/>
    <w:rsid w:val="009B564E"/>
    <w:rsid w:val="009B7E87"/>
    <w:rsid w:val="009C0169"/>
    <w:rsid w:val="009C403E"/>
    <w:rsid w:val="009C589A"/>
    <w:rsid w:val="009D489A"/>
    <w:rsid w:val="009D4FF0"/>
    <w:rsid w:val="009D5AA9"/>
    <w:rsid w:val="009D703C"/>
    <w:rsid w:val="009D718F"/>
    <w:rsid w:val="009E068F"/>
    <w:rsid w:val="009E14E0"/>
    <w:rsid w:val="009E35DB"/>
    <w:rsid w:val="009E47A3"/>
    <w:rsid w:val="009E7174"/>
    <w:rsid w:val="009E7E95"/>
    <w:rsid w:val="009F08F3"/>
    <w:rsid w:val="009F164E"/>
    <w:rsid w:val="009F344F"/>
    <w:rsid w:val="009F6CD4"/>
    <w:rsid w:val="009F747C"/>
    <w:rsid w:val="00A01B71"/>
    <w:rsid w:val="00A02C46"/>
    <w:rsid w:val="00A031D8"/>
    <w:rsid w:val="00A048A8"/>
    <w:rsid w:val="00A04F49"/>
    <w:rsid w:val="00A07874"/>
    <w:rsid w:val="00A106E8"/>
    <w:rsid w:val="00A12596"/>
    <w:rsid w:val="00A13CBC"/>
    <w:rsid w:val="00A13E54"/>
    <w:rsid w:val="00A16F02"/>
    <w:rsid w:val="00A17F63"/>
    <w:rsid w:val="00A200F0"/>
    <w:rsid w:val="00A2193B"/>
    <w:rsid w:val="00A2351A"/>
    <w:rsid w:val="00A264A9"/>
    <w:rsid w:val="00A26DCF"/>
    <w:rsid w:val="00A27785"/>
    <w:rsid w:val="00A30187"/>
    <w:rsid w:val="00A32BE7"/>
    <w:rsid w:val="00A33E59"/>
    <w:rsid w:val="00A3448A"/>
    <w:rsid w:val="00A34EDA"/>
    <w:rsid w:val="00A36297"/>
    <w:rsid w:val="00A41E2B"/>
    <w:rsid w:val="00A4426A"/>
    <w:rsid w:val="00A45B74"/>
    <w:rsid w:val="00A45EF5"/>
    <w:rsid w:val="00A52E1D"/>
    <w:rsid w:val="00A54D31"/>
    <w:rsid w:val="00A604EF"/>
    <w:rsid w:val="00A61499"/>
    <w:rsid w:val="00A6282D"/>
    <w:rsid w:val="00A62A77"/>
    <w:rsid w:val="00A63483"/>
    <w:rsid w:val="00A657D7"/>
    <w:rsid w:val="00A660AC"/>
    <w:rsid w:val="00A66339"/>
    <w:rsid w:val="00A67E6C"/>
    <w:rsid w:val="00A71B99"/>
    <w:rsid w:val="00A739D0"/>
    <w:rsid w:val="00A761D4"/>
    <w:rsid w:val="00A77EC4"/>
    <w:rsid w:val="00A80CF6"/>
    <w:rsid w:val="00A8499B"/>
    <w:rsid w:val="00A92879"/>
    <w:rsid w:val="00A9442A"/>
    <w:rsid w:val="00AA016F"/>
    <w:rsid w:val="00AA1ED6"/>
    <w:rsid w:val="00AA26B9"/>
    <w:rsid w:val="00AA51D6"/>
    <w:rsid w:val="00AB0BC8"/>
    <w:rsid w:val="00AB1154"/>
    <w:rsid w:val="00AB11CA"/>
    <w:rsid w:val="00AB14D9"/>
    <w:rsid w:val="00AB2432"/>
    <w:rsid w:val="00AB4AB8"/>
    <w:rsid w:val="00AB5741"/>
    <w:rsid w:val="00AB655E"/>
    <w:rsid w:val="00AC007F"/>
    <w:rsid w:val="00AC2ECD"/>
    <w:rsid w:val="00AC3119"/>
    <w:rsid w:val="00AC49FB"/>
    <w:rsid w:val="00AC5A10"/>
    <w:rsid w:val="00AC661A"/>
    <w:rsid w:val="00AD0AA3"/>
    <w:rsid w:val="00AD1745"/>
    <w:rsid w:val="00AD1C47"/>
    <w:rsid w:val="00AD3F94"/>
    <w:rsid w:val="00AD4A5A"/>
    <w:rsid w:val="00AE0489"/>
    <w:rsid w:val="00AE1DAD"/>
    <w:rsid w:val="00AE27AC"/>
    <w:rsid w:val="00AE40E0"/>
    <w:rsid w:val="00AE49B8"/>
    <w:rsid w:val="00AE4DBA"/>
    <w:rsid w:val="00AE4F07"/>
    <w:rsid w:val="00AF0AC6"/>
    <w:rsid w:val="00AF1C5D"/>
    <w:rsid w:val="00AF1D8C"/>
    <w:rsid w:val="00AF42D7"/>
    <w:rsid w:val="00AF53E9"/>
    <w:rsid w:val="00AF5FD0"/>
    <w:rsid w:val="00B006FE"/>
    <w:rsid w:val="00B007CB"/>
    <w:rsid w:val="00B02AA9"/>
    <w:rsid w:val="00B02FA3"/>
    <w:rsid w:val="00B05084"/>
    <w:rsid w:val="00B06266"/>
    <w:rsid w:val="00B07CAD"/>
    <w:rsid w:val="00B111E4"/>
    <w:rsid w:val="00B138F8"/>
    <w:rsid w:val="00B157F9"/>
    <w:rsid w:val="00B164A4"/>
    <w:rsid w:val="00B20256"/>
    <w:rsid w:val="00B20D09"/>
    <w:rsid w:val="00B2763F"/>
    <w:rsid w:val="00B27AAC"/>
    <w:rsid w:val="00B30929"/>
    <w:rsid w:val="00B30F4E"/>
    <w:rsid w:val="00B320FE"/>
    <w:rsid w:val="00B372AA"/>
    <w:rsid w:val="00B40445"/>
    <w:rsid w:val="00B409E0"/>
    <w:rsid w:val="00B41888"/>
    <w:rsid w:val="00B42C34"/>
    <w:rsid w:val="00B45A52"/>
    <w:rsid w:val="00B46175"/>
    <w:rsid w:val="00B548B7"/>
    <w:rsid w:val="00B55991"/>
    <w:rsid w:val="00B576D5"/>
    <w:rsid w:val="00B624A6"/>
    <w:rsid w:val="00B62D23"/>
    <w:rsid w:val="00B664C7"/>
    <w:rsid w:val="00B72BBD"/>
    <w:rsid w:val="00B739F6"/>
    <w:rsid w:val="00B81A6C"/>
    <w:rsid w:val="00B83783"/>
    <w:rsid w:val="00B84644"/>
    <w:rsid w:val="00B85138"/>
    <w:rsid w:val="00B85DE5"/>
    <w:rsid w:val="00B86811"/>
    <w:rsid w:val="00B8752E"/>
    <w:rsid w:val="00B90F73"/>
    <w:rsid w:val="00B93B59"/>
    <w:rsid w:val="00B9406A"/>
    <w:rsid w:val="00B9682E"/>
    <w:rsid w:val="00BA201F"/>
    <w:rsid w:val="00BA2280"/>
    <w:rsid w:val="00BA2A08"/>
    <w:rsid w:val="00BA3890"/>
    <w:rsid w:val="00BA54E9"/>
    <w:rsid w:val="00BA56D2"/>
    <w:rsid w:val="00BA76E0"/>
    <w:rsid w:val="00BB2A25"/>
    <w:rsid w:val="00BB37FB"/>
    <w:rsid w:val="00BB51E9"/>
    <w:rsid w:val="00BB701F"/>
    <w:rsid w:val="00BC0FDC"/>
    <w:rsid w:val="00BC3053"/>
    <w:rsid w:val="00BC4D2E"/>
    <w:rsid w:val="00BD07F2"/>
    <w:rsid w:val="00BD0FBA"/>
    <w:rsid w:val="00BD1202"/>
    <w:rsid w:val="00BD48AC"/>
    <w:rsid w:val="00BD5F1A"/>
    <w:rsid w:val="00BE1234"/>
    <w:rsid w:val="00BE2FA6"/>
    <w:rsid w:val="00BE333F"/>
    <w:rsid w:val="00BE7406"/>
    <w:rsid w:val="00BE7603"/>
    <w:rsid w:val="00BF3279"/>
    <w:rsid w:val="00BF45E3"/>
    <w:rsid w:val="00BF473B"/>
    <w:rsid w:val="00BF6A9D"/>
    <w:rsid w:val="00BF74C7"/>
    <w:rsid w:val="00C015F1"/>
    <w:rsid w:val="00C01F33"/>
    <w:rsid w:val="00C02CC6"/>
    <w:rsid w:val="00C040F7"/>
    <w:rsid w:val="00C044AB"/>
    <w:rsid w:val="00C05706"/>
    <w:rsid w:val="00C07377"/>
    <w:rsid w:val="00C10478"/>
    <w:rsid w:val="00C12107"/>
    <w:rsid w:val="00C14309"/>
    <w:rsid w:val="00C14D4B"/>
    <w:rsid w:val="00C14DFD"/>
    <w:rsid w:val="00C14E54"/>
    <w:rsid w:val="00C154BB"/>
    <w:rsid w:val="00C21820"/>
    <w:rsid w:val="00C268E6"/>
    <w:rsid w:val="00C279B5"/>
    <w:rsid w:val="00C27C45"/>
    <w:rsid w:val="00C3719D"/>
    <w:rsid w:val="00C37CB2"/>
    <w:rsid w:val="00C411F4"/>
    <w:rsid w:val="00C473A5"/>
    <w:rsid w:val="00C54995"/>
    <w:rsid w:val="00C54D41"/>
    <w:rsid w:val="00C54DED"/>
    <w:rsid w:val="00C56943"/>
    <w:rsid w:val="00C570FA"/>
    <w:rsid w:val="00C57312"/>
    <w:rsid w:val="00C60700"/>
    <w:rsid w:val="00C60783"/>
    <w:rsid w:val="00C64672"/>
    <w:rsid w:val="00C661DC"/>
    <w:rsid w:val="00C70697"/>
    <w:rsid w:val="00C72093"/>
    <w:rsid w:val="00C72EF4"/>
    <w:rsid w:val="00C73432"/>
    <w:rsid w:val="00C744FE"/>
    <w:rsid w:val="00C75D2F"/>
    <w:rsid w:val="00C767BE"/>
    <w:rsid w:val="00C76E3C"/>
    <w:rsid w:val="00C8068F"/>
    <w:rsid w:val="00C81568"/>
    <w:rsid w:val="00C82870"/>
    <w:rsid w:val="00C8455C"/>
    <w:rsid w:val="00C86883"/>
    <w:rsid w:val="00C8744F"/>
    <w:rsid w:val="00C9027A"/>
    <w:rsid w:val="00C9068E"/>
    <w:rsid w:val="00C91F57"/>
    <w:rsid w:val="00C93814"/>
    <w:rsid w:val="00C93C4B"/>
    <w:rsid w:val="00C944AB"/>
    <w:rsid w:val="00C95B40"/>
    <w:rsid w:val="00CA1ED8"/>
    <w:rsid w:val="00CA5D4C"/>
    <w:rsid w:val="00CB102F"/>
    <w:rsid w:val="00CB1F63"/>
    <w:rsid w:val="00CB7170"/>
    <w:rsid w:val="00CC040E"/>
    <w:rsid w:val="00CC111F"/>
    <w:rsid w:val="00CC2011"/>
    <w:rsid w:val="00CC3EA0"/>
    <w:rsid w:val="00CC5828"/>
    <w:rsid w:val="00CC7B45"/>
    <w:rsid w:val="00CD1188"/>
    <w:rsid w:val="00CD1936"/>
    <w:rsid w:val="00CD25F7"/>
    <w:rsid w:val="00CD2ED1"/>
    <w:rsid w:val="00CD337B"/>
    <w:rsid w:val="00CD5EA3"/>
    <w:rsid w:val="00CE0424"/>
    <w:rsid w:val="00CE401B"/>
    <w:rsid w:val="00CE7561"/>
    <w:rsid w:val="00CF05F6"/>
    <w:rsid w:val="00CF1354"/>
    <w:rsid w:val="00CF39F0"/>
    <w:rsid w:val="00CF3B1F"/>
    <w:rsid w:val="00CF3BF6"/>
    <w:rsid w:val="00CF625B"/>
    <w:rsid w:val="00CF687E"/>
    <w:rsid w:val="00D0349B"/>
    <w:rsid w:val="00D04353"/>
    <w:rsid w:val="00D10249"/>
    <w:rsid w:val="00D115C3"/>
    <w:rsid w:val="00D11897"/>
    <w:rsid w:val="00D13135"/>
    <w:rsid w:val="00D13A3F"/>
    <w:rsid w:val="00D13E4E"/>
    <w:rsid w:val="00D239A7"/>
    <w:rsid w:val="00D23AB1"/>
    <w:rsid w:val="00D23F47"/>
    <w:rsid w:val="00D335DD"/>
    <w:rsid w:val="00D36E71"/>
    <w:rsid w:val="00D36EC2"/>
    <w:rsid w:val="00D37D87"/>
    <w:rsid w:val="00D40B33"/>
    <w:rsid w:val="00D4318F"/>
    <w:rsid w:val="00D438BF"/>
    <w:rsid w:val="00D440F8"/>
    <w:rsid w:val="00D50D44"/>
    <w:rsid w:val="00D52F44"/>
    <w:rsid w:val="00D54027"/>
    <w:rsid w:val="00D546FF"/>
    <w:rsid w:val="00D554F2"/>
    <w:rsid w:val="00D55AD5"/>
    <w:rsid w:val="00D5768E"/>
    <w:rsid w:val="00D576CA"/>
    <w:rsid w:val="00D61231"/>
    <w:rsid w:val="00D61AF5"/>
    <w:rsid w:val="00D63BBC"/>
    <w:rsid w:val="00D652B5"/>
    <w:rsid w:val="00D66155"/>
    <w:rsid w:val="00D708B0"/>
    <w:rsid w:val="00D757CA"/>
    <w:rsid w:val="00D77B1D"/>
    <w:rsid w:val="00D8021F"/>
    <w:rsid w:val="00D80383"/>
    <w:rsid w:val="00D80B76"/>
    <w:rsid w:val="00D823C6"/>
    <w:rsid w:val="00D8327F"/>
    <w:rsid w:val="00D842F3"/>
    <w:rsid w:val="00D86CA3"/>
    <w:rsid w:val="00D871CE"/>
    <w:rsid w:val="00D9196D"/>
    <w:rsid w:val="00D92982"/>
    <w:rsid w:val="00D9310F"/>
    <w:rsid w:val="00D93F8D"/>
    <w:rsid w:val="00D95DB5"/>
    <w:rsid w:val="00DA305E"/>
    <w:rsid w:val="00DA30D5"/>
    <w:rsid w:val="00DA35C6"/>
    <w:rsid w:val="00DA5417"/>
    <w:rsid w:val="00DA56E8"/>
    <w:rsid w:val="00DB0A9F"/>
    <w:rsid w:val="00DB377D"/>
    <w:rsid w:val="00DC2D36"/>
    <w:rsid w:val="00DC53EF"/>
    <w:rsid w:val="00DC6189"/>
    <w:rsid w:val="00DD1AF4"/>
    <w:rsid w:val="00DD4C74"/>
    <w:rsid w:val="00DE5608"/>
    <w:rsid w:val="00DE58D0"/>
    <w:rsid w:val="00DE654F"/>
    <w:rsid w:val="00DF0B6E"/>
    <w:rsid w:val="00DF15E0"/>
    <w:rsid w:val="00DF1C84"/>
    <w:rsid w:val="00DF37A0"/>
    <w:rsid w:val="00DF5580"/>
    <w:rsid w:val="00DF72E6"/>
    <w:rsid w:val="00E00489"/>
    <w:rsid w:val="00E055DF"/>
    <w:rsid w:val="00E110E7"/>
    <w:rsid w:val="00E11B20"/>
    <w:rsid w:val="00E11E2E"/>
    <w:rsid w:val="00E13D72"/>
    <w:rsid w:val="00E146AB"/>
    <w:rsid w:val="00E15BE3"/>
    <w:rsid w:val="00E17FA2"/>
    <w:rsid w:val="00E22330"/>
    <w:rsid w:val="00E253F9"/>
    <w:rsid w:val="00E25BDF"/>
    <w:rsid w:val="00E30B5A"/>
    <w:rsid w:val="00E3123D"/>
    <w:rsid w:val="00E31461"/>
    <w:rsid w:val="00E31D43"/>
    <w:rsid w:val="00E32608"/>
    <w:rsid w:val="00E34188"/>
    <w:rsid w:val="00E34B6E"/>
    <w:rsid w:val="00E35559"/>
    <w:rsid w:val="00E3723A"/>
    <w:rsid w:val="00E37860"/>
    <w:rsid w:val="00E446F1"/>
    <w:rsid w:val="00E46886"/>
    <w:rsid w:val="00E4746B"/>
    <w:rsid w:val="00E47AEF"/>
    <w:rsid w:val="00E52C0A"/>
    <w:rsid w:val="00E53B75"/>
    <w:rsid w:val="00E5462F"/>
    <w:rsid w:val="00E54E3B"/>
    <w:rsid w:val="00E57565"/>
    <w:rsid w:val="00E63838"/>
    <w:rsid w:val="00E64434"/>
    <w:rsid w:val="00E67C51"/>
    <w:rsid w:val="00E70483"/>
    <w:rsid w:val="00E71791"/>
    <w:rsid w:val="00E72804"/>
    <w:rsid w:val="00E72EFC"/>
    <w:rsid w:val="00E758EC"/>
    <w:rsid w:val="00E75FBD"/>
    <w:rsid w:val="00E8234C"/>
    <w:rsid w:val="00E83AA9"/>
    <w:rsid w:val="00E85928"/>
    <w:rsid w:val="00E875BA"/>
    <w:rsid w:val="00E87822"/>
    <w:rsid w:val="00E90395"/>
    <w:rsid w:val="00E90E49"/>
    <w:rsid w:val="00E917F9"/>
    <w:rsid w:val="00E9291C"/>
    <w:rsid w:val="00E93FFE"/>
    <w:rsid w:val="00E94F8A"/>
    <w:rsid w:val="00E979B5"/>
    <w:rsid w:val="00EA2E92"/>
    <w:rsid w:val="00EA7A41"/>
    <w:rsid w:val="00EB057C"/>
    <w:rsid w:val="00EB077B"/>
    <w:rsid w:val="00EB4EA2"/>
    <w:rsid w:val="00EC09DB"/>
    <w:rsid w:val="00EC24D5"/>
    <w:rsid w:val="00EC27C6"/>
    <w:rsid w:val="00EC4207"/>
    <w:rsid w:val="00EC5653"/>
    <w:rsid w:val="00EC71CE"/>
    <w:rsid w:val="00ED0725"/>
    <w:rsid w:val="00ED1006"/>
    <w:rsid w:val="00ED3AAA"/>
    <w:rsid w:val="00ED4172"/>
    <w:rsid w:val="00EE0A5B"/>
    <w:rsid w:val="00EE1008"/>
    <w:rsid w:val="00EE46BF"/>
    <w:rsid w:val="00EE47A6"/>
    <w:rsid w:val="00EE5232"/>
    <w:rsid w:val="00EF0422"/>
    <w:rsid w:val="00EF18FE"/>
    <w:rsid w:val="00EF232A"/>
    <w:rsid w:val="00EF30D4"/>
    <w:rsid w:val="00EF3DA0"/>
    <w:rsid w:val="00EF46C1"/>
    <w:rsid w:val="00EF5011"/>
    <w:rsid w:val="00EF5787"/>
    <w:rsid w:val="00EF60D0"/>
    <w:rsid w:val="00EF6B0B"/>
    <w:rsid w:val="00F0528D"/>
    <w:rsid w:val="00F06C67"/>
    <w:rsid w:val="00F06DFD"/>
    <w:rsid w:val="00F071D1"/>
    <w:rsid w:val="00F07533"/>
    <w:rsid w:val="00F10629"/>
    <w:rsid w:val="00F13BF0"/>
    <w:rsid w:val="00F15FA5"/>
    <w:rsid w:val="00F209B7"/>
    <w:rsid w:val="00F20F5C"/>
    <w:rsid w:val="00F2376F"/>
    <w:rsid w:val="00F243D8"/>
    <w:rsid w:val="00F253D2"/>
    <w:rsid w:val="00F26A75"/>
    <w:rsid w:val="00F30828"/>
    <w:rsid w:val="00F311B6"/>
    <w:rsid w:val="00F313D6"/>
    <w:rsid w:val="00F3685F"/>
    <w:rsid w:val="00F40F0C"/>
    <w:rsid w:val="00F4108E"/>
    <w:rsid w:val="00F4766C"/>
    <w:rsid w:val="00F5060E"/>
    <w:rsid w:val="00F50730"/>
    <w:rsid w:val="00F507D1"/>
    <w:rsid w:val="00F519CE"/>
    <w:rsid w:val="00F51ADA"/>
    <w:rsid w:val="00F520DC"/>
    <w:rsid w:val="00F56DCC"/>
    <w:rsid w:val="00F60203"/>
    <w:rsid w:val="00F607C5"/>
    <w:rsid w:val="00F60B66"/>
    <w:rsid w:val="00F60DEA"/>
    <w:rsid w:val="00F62223"/>
    <w:rsid w:val="00F6302A"/>
    <w:rsid w:val="00F63950"/>
    <w:rsid w:val="00F64C2B"/>
    <w:rsid w:val="00F651BE"/>
    <w:rsid w:val="00F66E9F"/>
    <w:rsid w:val="00F67F53"/>
    <w:rsid w:val="00F703BE"/>
    <w:rsid w:val="00F70BCA"/>
    <w:rsid w:val="00F71F69"/>
    <w:rsid w:val="00F72A02"/>
    <w:rsid w:val="00F72B72"/>
    <w:rsid w:val="00F74BB9"/>
    <w:rsid w:val="00F75582"/>
    <w:rsid w:val="00F76EFA"/>
    <w:rsid w:val="00F804BE"/>
    <w:rsid w:val="00F817CE"/>
    <w:rsid w:val="00F82A56"/>
    <w:rsid w:val="00F8456C"/>
    <w:rsid w:val="00F84F95"/>
    <w:rsid w:val="00F859D8"/>
    <w:rsid w:val="00F868F5"/>
    <w:rsid w:val="00F9056A"/>
    <w:rsid w:val="00F90F8D"/>
    <w:rsid w:val="00F91389"/>
    <w:rsid w:val="00F91DD8"/>
    <w:rsid w:val="00F92782"/>
    <w:rsid w:val="00F93AA9"/>
    <w:rsid w:val="00F950A7"/>
    <w:rsid w:val="00F954ED"/>
    <w:rsid w:val="00F956C6"/>
    <w:rsid w:val="00F96985"/>
    <w:rsid w:val="00F97838"/>
    <w:rsid w:val="00FA2BB3"/>
    <w:rsid w:val="00FA6F92"/>
    <w:rsid w:val="00FB4C80"/>
    <w:rsid w:val="00FB5009"/>
    <w:rsid w:val="00FB6A6A"/>
    <w:rsid w:val="00FB6D49"/>
    <w:rsid w:val="00FC2728"/>
    <w:rsid w:val="00FC581A"/>
    <w:rsid w:val="00FC7429"/>
    <w:rsid w:val="00FD07F6"/>
    <w:rsid w:val="00FD1EC8"/>
    <w:rsid w:val="00FD2861"/>
    <w:rsid w:val="00FD31C8"/>
    <w:rsid w:val="00FD35BA"/>
    <w:rsid w:val="00FD47ED"/>
    <w:rsid w:val="00FD6A36"/>
    <w:rsid w:val="00FD74DB"/>
    <w:rsid w:val="00FD7660"/>
    <w:rsid w:val="00FE0655"/>
    <w:rsid w:val="00FE2365"/>
    <w:rsid w:val="00FE37D7"/>
    <w:rsid w:val="00FE4C7B"/>
    <w:rsid w:val="00FE7336"/>
    <w:rsid w:val="00FE787C"/>
    <w:rsid w:val="00FF20C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160FE361-A239-42A2-ADBC-31959667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D647FD-C7E2-4C75-9EF5-041C1ED9F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1467</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2</cp:revision>
  <cp:lastPrinted>2008-01-30T22:09:00Z</cp:lastPrinted>
  <dcterms:created xsi:type="dcterms:W3CDTF">2021-10-21T18:36:00Z</dcterms:created>
  <dcterms:modified xsi:type="dcterms:W3CDTF">2021-10-21T18:36:00Z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